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9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92"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32"/>
          <w:szCs w:val="32"/>
          <w:color w:val="auto"/>
        </w:rPr>
        <w:t>FORM 11-K</w:t>
      </w:r>
    </w:p>
    <w:p>
      <w:pPr>
        <w:spacing w:after="0" w:line="235" w:lineRule="exact"/>
        <w:rPr>
          <w:sz w:val="24"/>
          <w:szCs w:val="24"/>
          <w:color w:val="auto"/>
        </w:rPr>
      </w:pPr>
    </w:p>
    <w:p>
      <w:pPr>
        <w:ind w:left="660" w:right="1639" w:hanging="652"/>
        <w:spacing w:after="0" w:line="500"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15(d) OF THE SECURITIES EXCHANGE ACT OF 1934 For the fiscal year ended December 31, 2025</w:t>
      </w:r>
    </w:p>
    <w:p>
      <w:pPr>
        <w:spacing w:after="0" w:line="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auto"/>
        </w:rPr>
        <w:t>TRANSITION REPORT PURSUANT TO SECTION 15(d) OF THE SECURITIES EXCHANGE ACT OF 1934</w:t>
      </w:r>
    </w:p>
    <w:p>
      <w:pPr>
        <w:spacing w:after="0" w:line="237" w:lineRule="exact"/>
        <w:rPr>
          <w:sz w:val="24"/>
          <w:szCs w:val="24"/>
          <w:color w:val="auto"/>
        </w:rPr>
      </w:pPr>
    </w:p>
    <w:p>
      <w:pPr>
        <w:ind w:left="660"/>
        <w:spacing w:after="0"/>
        <w:tabs>
          <w:tab w:leader="none" w:pos="394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1774825</wp:posOffset>
            </wp:positionH>
            <wp:positionV relativeFrom="paragraph">
              <wp:posOffset>-7620</wp:posOffset>
            </wp:positionV>
            <wp:extent cx="16313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1315" cy="8255"/>
                    </a:xfrm>
                    <a:prstGeom prst="rect">
                      <a:avLst/>
                    </a:prstGeom>
                    <a:noFill/>
                  </pic:spPr>
                </pic:pic>
              </a:graphicData>
            </a:graphic>
          </wp:anchor>
        </w:drawing>
      </w:r>
    </w:p>
    <w:p>
      <w:pPr>
        <w:spacing w:after="0" w:line="20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Commission file no.: 333-93785</w:t>
      </w:r>
    </w:p>
    <w:p>
      <w:pPr>
        <w:spacing w:after="0" w:line="225"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color w:val="FF0000"/>
        </w:rPr>
        <w:t>.</w:t>
      </w:r>
      <w:r>
        <w:rPr>
          <w:sz w:val="20"/>
          <w:szCs w:val="20"/>
          <w:color w:val="auto"/>
        </w:rPr>
        <w:tab/>
      </w:r>
      <w:r>
        <w:rPr>
          <w:rFonts w:ascii="Times New Roman" w:cs="Times New Roman" w:eastAsia="Times New Roman" w:hAnsi="Times New Roman"/>
          <w:sz w:val="17"/>
          <w:szCs w:val="17"/>
          <w:color w:val="auto"/>
        </w:rPr>
        <w:t>Full title of the plan and the address of the plan, if different from that of the issuer named below:</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Donegal Mutual Insurance Company 401(k) Plan</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1195 River Road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Marietta, Pennsylvania 17547</w:t>
      </w:r>
    </w:p>
    <w:p>
      <w:pPr>
        <w:spacing w:after="0" w:line="207" w:lineRule="exact"/>
        <w:rPr>
          <w:sz w:val="24"/>
          <w:szCs w:val="24"/>
          <w:color w:val="auto"/>
        </w:rPr>
      </w:pPr>
    </w:p>
    <w:p>
      <w:pPr>
        <w:ind w:left="660" w:hanging="604"/>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Donegal Group Inc.</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1195 River Road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Marietta, Pennsylvania 17547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0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DONEGAL MUTUAL INSURANCE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COMPANY 401(k) PLAN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FINANCIAL STATEMENTS WITH</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SUPPLEMENTAL SCHEDULE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01"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DONEGAL MUTUAL INSURANCE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900" w:type="dxa"/>
            <w:vAlign w:val="bottom"/>
            <w:gridSpan w:val="3"/>
          </w:tcPr>
          <w:p>
            <w:pPr>
              <w:ind w:left="5280"/>
              <w:spacing w:after="0"/>
              <w:rPr>
                <w:sz w:val="20"/>
                <w:szCs w:val="20"/>
                <w:color w:val="auto"/>
              </w:rPr>
            </w:pPr>
            <w:r>
              <w:rPr>
                <w:rFonts w:ascii="Times New Roman" w:cs="Times New Roman" w:eastAsia="Times New Roman" w:hAnsi="Times New Roman"/>
                <w:sz w:val="18"/>
                <w:szCs w:val="18"/>
                <w:color w:val="auto"/>
              </w:rPr>
              <w:t>Page</w:t>
            </w:r>
          </w:p>
        </w:tc>
      </w:tr>
      <w:tr>
        <w:trPr>
          <w:trHeight w:val="237"/>
        </w:trPr>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196"/>
        </w:trPr>
        <w:tc>
          <w:tcPr>
            <w:tcW w:w="53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5620" w:type="dxa"/>
            <w:vAlign w:val="bottom"/>
            <w:gridSpan w:val="2"/>
            <w:shd w:val="clear" w:color="auto" w:fill="CCEEFF"/>
          </w:tcPr>
          <w:p>
            <w:pPr>
              <w:jc w:val="center"/>
              <w:ind w:left="5190"/>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7"/>
                <w:szCs w:val="17"/>
                <w:color w:val="auto"/>
              </w:rPr>
            </w:pPr>
          </w:p>
        </w:tc>
      </w:tr>
      <w:tr>
        <w:trPr>
          <w:trHeight w:val="216"/>
        </w:trPr>
        <w:tc>
          <w:tcPr>
            <w:tcW w:w="5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216"/>
        </w:trPr>
        <w:tc>
          <w:tcPr>
            <w:tcW w:w="53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96"/>
        </w:trPr>
        <w:tc>
          <w:tcPr>
            <w:tcW w:w="580" w:type="dxa"/>
            <w:vAlign w:val="bottom"/>
            <w:shd w:val="clear" w:color="auto" w:fill="CCEEFF"/>
          </w:tcPr>
          <w:p>
            <w:pPr>
              <w:spacing w:after="0"/>
              <w:rPr>
                <w:sz w:val="17"/>
                <w:szCs w:val="17"/>
                <w:color w:val="auto"/>
              </w:rPr>
            </w:pPr>
          </w:p>
        </w:tc>
        <w:tc>
          <w:tcPr>
            <w:tcW w:w="4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Net Assets Available for Benefits</w:t>
            </w:r>
          </w:p>
        </w:tc>
        <w:tc>
          <w:tcPr>
            <w:tcW w:w="5620" w:type="dxa"/>
            <w:vAlign w:val="bottom"/>
            <w:gridSpan w:val="2"/>
            <w:shd w:val="clear" w:color="auto" w:fill="CCEEFF"/>
          </w:tcPr>
          <w:p>
            <w:pPr>
              <w:jc w:val="center"/>
              <w:ind w:left="519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7"/>
                <w:szCs w:val="17"/>
                <w:color w:val="auto"/>
              </w:rPr>
            </w:pPr>
          </w:p>
        </w:tc>
      </w:tr>
      <w:tr>
        <w:trPr>
          <w:trHeight w:val="216"/>
        </w:trPr>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196"/>
        </w:trPr>
        <w:tc>
          <w:tcPr>
            <w:tcW w:w="580" w:type="dxa"/>
            <w:vAlign w:val="bottom"/>
            <w:shd w:val="clear" w:color="auto" w:fill="CCEEFF"/>
          </w:tcPr>
          <w:p>
            <w:pPr>
              <w:spacing w:after="0"/>
              <w:rPr>
                <w:sz w:val="17"/>
                <w:szCs w:val="17"/>
                <w:color w:val="auto"/>
              </w:rPr>
            </w:pPr>
          </w:p>
        </w:tc>
        <w:tc>
          <w:tcPr>
            <w:tcW w:w="4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Changes in Net Assets Available for Benefits</w:t>
            </w:r>
          </w:p>
        </w:tc>
        <w:tc>
          <w:tcPr>
            <w:tcW w:w="5620" w:type="dxa"/>
            <w:vAlign w:val="bottom"/>
            <w:gridSpan w:val="2"/>
            <w:shd w:val="clear" w:color="auto" w:fill="CCEEFF"/>
          </w:tcPr>
          <w:p>
            <w:pPr>
              <w:jc w:val="center"/>
              <w:ind w:left="5190"/>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17"/>
                <w:szCs w:val="17"/>
                <w:color w:val="auto"/>
              </w:rPr>
            </w:pPr>
          </w:p>
        </w:tc>
      </w:tr>
      <w:tr>
        <w:trPr>
          <w:trHeight w:val="216"/>
        </w:trPr>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196"/>
        </w:trPr>
        <w:tc>
          <w:tcPr>
            <w:tcW w:w="580" w:type="dxa"/>
            <w:vAlign w:val="bottom"/>
            <w:shd w:val="clear" w:color="auto" w:fill="CCEEFF"/>
          </w:tcPr>
          <w:p>
            <w:pPr>
              <w:spacing w:after="0"/>
              <w:rPr>
                <w:sz w:val="17"/>
                <w:szCs w:val="17"/>
                <w:color w:val="auto"/>
              </w:rPr>
            </w:pPr>
          </w:p>
        </w:tc>
        <w:tc>
          <w:tcPr>
            <w:tcW w:w="4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5620" w:type="dxa"/>
            <w:vAlign w:val="bottom"/>
            <w:gridSpan w:val="2"/>
            <w:shd w:val="clear" w:color="auto" w:fill="CCEEFF"/>
          </w:tcPr>
          <w:p>
            <w:pPr>
              <w:jc w:val="center"/>
              <w:ind w:left="5190"/>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7"/>
                <w:szCs w:val="17"/>
                <w:color w:val="auto"/>
              </w:rPr>
            </w:pPr>
          </w:p>
        </w:tc>
      </w:tr>
      <w:tr>
        <w:trPr>
          <w:trHeight w:val="216"/>
        </w:trPr>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216"/>
        </w:trPr>
        <w:tc>
          <w:tcPr>
            <w:tcW w:w="53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Schedule</w:t>
            </w:r>
          </w:p>
        </w:tc>
        <w:tc>
          <w:tcPr>
            <w:tcW w:w="5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1"/>
        </w:trPr>
        <w:tc>
          <w:tcPr>
            <w:tcW w:w="580" w:type="dxa"/>
            <w:vAlign w:val="bottom"/>
            <w:tcBorders>
              <w:bottom w:val="single" w:sz="8" w:color="CCEEFF"/>
            </w:tcBorders>
            <w:shd w:val="clear" w:color="auto" w:fill="CCEEFF"/>
          </w:tcPr>
          <w:p>
            <w:pPr>
              <w:spacing w:after="0"/>
              <w:rPr>
                <w:sz w:val="17"/>
                <w:szCs w:val="17"/>
                <w:color w:val="auto"/>
              </w:rPr>
            </w:pPr>
          </w:p>
        </w:tc>
        <w:tc>
          <w:tcPr>
            <w:tcW w:w="47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Schedule H - Line 4(i) – Schedule of Assets (Held at End of Year)</w:t>
            </w:r>
          </w:p>
        </w:tc>
        <w:tc>
          <w:tcPr>
            <w:tcW w:w="5620" w:type="dxa"/>
            <w:vAlign w:val="bottom"/>
            <w:tcBorders>
              <w:bottom w:val="single" w:sz="8" w:color="CCEEFF"/>
            </w:tcBorders>
            <w:gridSpan w:val="2"/>
            <w:shd w:val="clear" w:color="auto" w:fill="CCEEFF"/>
          </w:tcPr>
          <w:p>
            <w:pPr>
              <w:jc w:val="center"/>
              <w:ind w:left="5190"/>
              <w:spacing w:after="0" w:line="176" w:lineRule="exact"/>
              <w:rPr>
                <w:sz w:val="20"/>
                <w:szCs w:val="20"/>
                <w:color w:val="auto"/>
              </w:rPr>
            </w:pPr>
            <w:r>
              <w:rPr>
                <w:rFonts w:ascii="Times New Roman" w:cs="Times New Roman" w:eastAsia="Times New Roman" w:hAnsi="Times New Roman"/>
                <w:sz w:val="18"/>
                <w:szCs w:val="18"/>
                <w:color w:val="auto"/>
                <w:w w:val="99"/>
              </w:rPr>
              <w:t>15</w:t>
            </w:r>
          </w:p>
        </w:tc>
        <w:tc>
          <w:tcPr>
            <w:tcW w:w="280" w:type="dxa"/>
            <w:vAlign w:val="bottom"/>
            <w:tcBorders>
              <w:bottom w:val="single" w:sz="8" w:color="CCEEFF"/>
            </w:tcBorders>
            <w:shd w:val="clear" w:color="auto" w:fill="CCEEFF"/>
          </w:tcPr>
          <w:p>
            <w:pPr>
              <w:spacing w:after="0"/>
              <w:rPr>
                <w:sz w:val="17"/>
                <w:szCs w:val="17"/>
                <w:color w:val="auto"/>
              </w:rPr>
            </w:pPr>
          </w:p>
        </w:tc>
      </w:tr>
      <w:tr>
        <w:trPr>
          <w:trHeight w:val="216"/>
        </w:trPr>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196"/>
        </w:trPr>
        <w:tc>
          <w:tcPr>
            <w:tcW w:w="53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5620" w:type="dxa"/>
            <w:vAlign w:val="bottom"/>
            <w:gridSpan w:val="2"/>
            <w:shd w:val="clear" w:color="auto" w:fill="CCEEFF"/>
          </w:tcPr>
          <w:p>
            <w:pPr>
              <w:jc w:val="center"/>
              <w:ind w:left="5190"/>
              <w:spacing w:after="0" w:line="176" w:lineRule="exact"/>
              <w:rPr>
                <w:sz w:val="20"/>
                <w:szCs w:val="20"/>
                <w:color w:val="auto"/>
              </w:rPr>
            </w:pPr>
            <w:r>
              <w:rPr>
                <w:rFonts w:ascii="Times New Roman" w:cs="Times New Roman" w:eastAsia="Times New Roman" w:hAnsi="Times New Roman"/>
                <w:sz w:val="18"/>
                <w:szCs w:val="18"/>
                <w:color w:val="auto"/>
                <w:w w:val="99"/>
              </w:rPr>
              <w:t>17</w:t>
            </w:r>
          </w:p>
        </w:tc>
        <w:tc>
          <w:tcPr>
            <w:tcW w:w="280" w:type="dxa"/>
            <w:vAlign w:val="bottom"/>
            <w:shd w:val="clear" w:color="auto" w:fill="CCEEFF"/>
          </w:tcPr>
          <w:p>
            <w:pPr>
              <w:spacing w:after="0"/>
              <w:rPr>
                <w:sz w:val="17"/>
                <w:szCs w:val="17"/>
                <w:color w:val="auto"/>
              </w:rPr>
            </w:pPr>
          </w:p>
        </w:tc>
      </w:tr>
      <w:tr>
        <w:trPr>
          <w:trHeight w:val="216"/>
        </w:trPr>
        <w:tc>
          <w:tcPr>
            <w:tcW w:w="5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216"/>
        </w:trPr>
        <w:tc>
          <w:tcPr>
            <w:tcW w:w="53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23.1</w:t>
            </w:r>
          </w:p>
        </w:tc>
        <w:tc>
          <w:tcPr>
            <w:tcW w:w="5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358"/>
        </w:trPr>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0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and Participants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Donegal Mutual Insurance Company 401(k)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Marietta, Pennsylvania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Donegal Mutual Insurance Company 401(k) Plan (the “Plan”) as of December 31, 2025 and 2024, the related statements of changes in net assets available for benefits for the years then ended, and the related notes (collectively,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provide a reasonable basis for our opinion.</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supplemental information in the accompanying Schedule of Assets (Held at End of Year) as of December 31, 2025 has been subjected to audit procedures performed in conjunction with the audit of the Plan’s financial statements. The supplemental information is presented for the purpose of additional analysis and is not a required part of the financial statements but included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2026</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DONEGAL MUTUAL INSURANCE COMPANY</w:t>
      </w:r>
    </w:p>
    <w:p>
      <w:pPr>
        <w:spacing w:after="0" w:line="3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STATEMENTS OF NET ASSETS AVAILABLE FOR BENEFITS</w:t>
      </w:r>
    </w:p>
    <w:p>
      <w:pPr>
        <w:spacing w:after="0" w:line="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ectPr>
          <w:pgSz w:w="11900" w:h="16838" w:orient="portrait"/>
          <w:cols w:equalWidth="0" w:num="1">
            <w:col w:w="11140"/>
          </w:cols>
          <w:pgMar w:left="320" w:top="11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Investments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Common/collective trust funds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Registered investment companies</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Employer securities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Assets Available for Benefits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488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2854325</wp:posOffset>
            </wp:positionH>
            <wp:positionV relativeFrom="paragraph">
              <wp:posOffset>19685</wp:posOffset>
            </wp:positionV>
            <wp:extent cx="156019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4500"/>
        <w:spacing w:after="0"/>
        <w:tabs>
          <w:tab w:leader="none" w:pos="4800" w:val="left"/>
          <w:tab w:leader="none" w:pos="5820" w:val="left"/>
          <w:tab w:leader="none" w:pos="6120" w:val="left"/>
        </w:tabs>
        <w:rPr>
          <w:sz w:val="20"/>
          <w:szCs w:val="20"/>
          <w:color w:val="auto"/>
        </w:rPr>
      </w:pPr>
      <w:r>
        <w:rPr>
          <w:rFonts w:ascii="Times New Roman" w:cs="Times New Roman" w:eastAsia="Times New Roman" w:hAnsi="Times New Roman"/>
          <w:sz w:val="18"/>
          <w:szCs w:val="18"/>
          <w:color w:val="auto"/>
        </w:rPr>
        <w:t>$</w:t>
        <w:tab/>
        <w:t>19,831,490</w:t>
        <w:tab/>
        <w:t>$</w:t>
        <w:tab/>
        <w:t>18,715,611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-119380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jc w:val="both"/>
        <w:ind w:left="4720"/>
        <w:spacing w:after="0"/>
        <w:tabs>
          <w:tab w:leader="none" w:pos="6040" w:val="left"/>
        </w:tabs>
        <w:rPr>
          <w:sz w:val="20"/>
          <w:szCs w:val="20"/>
          <w:color w:val="auto"/>
        </w:rPr>
      </w:pPr>
      <w:r>
        <w:rPr>
          <w:rFonts w:ascii="Times New Roman" w:cs="Times New Roman" w:eastAsia="Times New Roman" w:hAnsi="Times New Roman"/>
          <w:sz w:val="18"/>
          <w:szCs w:val="18"/>
          <w:color w:val="auto"/>
        </w:rPr>
        <w:t>185,024,573</w:t>
      </w:r>
      <w:r>
        <w:rPr>
          <w:sz w:val="20"/>
          <w:szCs w:val="20"/>
          <w:color w:val="auto"/>
        </w:rPr>
        <w:tab/>
      </w:r>
      <w:r>
        <w:rPr>
          <w:rFonts w:ascii="Times New Roman" w:cs="Times New Roman" w:eastAsia="Times New Roman" w:hAnsi="Times New Roman"/>
          <w:sz w:val="18"/>
          <w:szCs w:val="18"/>
          <w:color w:val="auto"/>
        </w:rPr>
        <w:t>170,278,611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5715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jc w:val="both"/>
        <w:ind w:left="4820"/>
        <w:spacing w:after="0"/>
        <w:tabs>
          <w:tab w:leader="none" w:pos="6220" w:val="left"/>
        </w:tabs>
        <w:rPr>
          <w:sz w:val="20"/>
          <w:szCs w:val="20"/>
          <w:color w:val="auto"/>
        </w:rPr>
      </w:pPr>
      <w:r>
        <w:rPr>
          <w:rFonts w:ascii="Times New Roman" w:cs="Times New Roman" w:eastAsia="Times New Roman" w:hAnsi="Times New Roman"/>
          <w:sz w:val="18"/>
          <w:szCs w:val="18"/>
          <w:color w:val="auto"/>
        </w:rPr>
        <w:t>10,339,993</w:t>
      </w:r>
      <w:r>
        <w:rPr>
          <w:sz w:val="20"/>
          <w:szCs w:val="20"/>
          <w:color w:val="auto"/>
        </w:rPr>
        <w:tab/>
      </w:r>
      <w:r>
        <w:rPr>
          <w:rFonts w:ascii="Times New Roman" w:cs="Times New Roman" w:eastAsia="Times New Roman" w:hAnsi="Times New Roman"/>
          <w:sz w:val="18"/>
          <w:szCs w:val="18"/>
          <w:color w:val="auto"/>
        </w:rPr>
        <w:t>9,207,307</w:t>
      </w:r>
    </w:p>
    <w:p>
      <w:pPr>
        <w:spacing w:after="0" w:line="18" w:lineRule="exact"/>
        <w:rPr>
          <w:sz w:val="20"/>
          <w:szCs w:val="20"/>
          <w:color w:val="auto"/>
        </w:rPr>
      </w:pPr>
    </w:p>
    <w:p>
      <w:pPr>
        <w:jc w:val="right"/>
        <w:spacing w:after="0"/>
        <w:tabs>
          <w:tab w:leader="none" w:pos="2220" w:val="left"/>
          <w:tab w:leader="none" w:pos="1100" w:val="left"/>
        </w:tabs>
        <w:rPr>
          <w:sz w:val="20"/>
          <w:szCs w:val="20"/>
          <w:color w:val="auto"/>
        </w:rPr>
      </w:pPr>
      <w:r>
        <w:rPr>
          <w:rFonts w:ascii="Times New Roman" w:cs="Times New Roman" w:eastAsia="Times New Roman" w:hAnsi="Times New Roman"/>
          <w:sz w:val="18"/>
          <w:szCs w:val="18"/>
          <w:u w:val="single" w:color="auto"/>
          <w:color w:val="auto"/>
        </w:rPr>
        <w:t>$</w:t>
        <w:tab/>
        <w:t>215,196,056</w:t>
        <w:tab/>
        <w:t>$ 198,201,529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2854325</wp:posOffset>
            </wp:positionH>
            <wp:positionV relativeFrom="paragraph">
              <wp:posOffset>43180</wp:posOffset>
            </wp:positionV>
            <wp:extent cx="15601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59" w:lineRule="exact"/>
        <w:rPr>
          <w:sz w:val="20"/>
          <w:szCs w:val="20"/>
          <w:color w:val="auto"/>
        </w:rPr>
      </w:pPr>
    </w:p>
    <w:p>
      <w:pPr>
        <w:jc w:val="center"/>
        <w:ind w:right="4080"/>
        <w:spacing w:after="0"/>
        <w:rPr>
          <w:sz w:val="20"/>
          <w:szCs w:val="20"/>
          <w:color w:val="auto"/>
        </w:rPr>
      </w:pPr>
      <w:r>
        <w:rPr>
          <w:rFonts w:ascii="Times New Roman" w:cs="Times New Roman" w:eastAsia="Times New Roman" w:hAnsi="Times New Roman"/>
          <w:sz w:val="18"/>
          <w:szCs w:val="18"/>
          <w:color w:val="auto"/>
        </w:rPr>
        <w:t>The accompanying notes are an integral</w:t>
      </w:r>
    </w:p>
    <w:p>
      <w:pPr>
        <w:spacing w:after="0" w:line="27" w:lineRule="exact"/>
        <w:rPr>
          <w:sz w:val="20"/>
          <w:szCs w:val="20"/>
          <w:color w:val="auto"/>
        </w:rPr>
      </w:pPr>
    </w:p>
    <w:p>
      <w:pPr>
        <w:jc w:val="center"/>
        <w:ind w:right="4080"/>
        <w:spacing w:after="0"/>
        <w:rPr>
          <w:sz w:val="20"/>
          <w:szCs w:val="20"/>
          <w:color w:val="auto"/>
        </w:rPr>
      </w:pPr>
      <w:r>
        <w:rPr>
          <w:rFonts w:ascii="Times New Roman" w:cs="Times New Roman" w:eastAsia="Times New Roman" w:hAnsi="Times New Roman"/>
          <w:sz w:val="18"/>
          <w:szCs w:val="18"/>
          <w:color w:val="auto"/>
        </w:rPr>
        <w:t>part of these financial statements.</w:t>
      </w:r>
    </w:p>
    <w:p>
      <w:pPr>
        <w:spacing w:after="0" w:line="200" w:lineRule="exact"/>
        <w:rPr>
          <w:sz w:val="20"/>
          <w:szCs w:val="20"/>
          <w:color w:val="auto"/>
        </w:rPr>
      </w:pPr>
    </w:p>
    <w:p>
      <w:pPr>
        <w:sectPr>
          <w:pgSz w:w="11900" w:h="16838" w:orient="portrait"/>
          <w:cols w:equalWidth="0" w:num="2">
            <w:col w:w="3460" w:space="720"/>
            <w:col w:w="6960"/>
          </w:cols>
          <w:pgMar w:left="320" w:top="115" w:right="439" w:bottom="1440" w:gutter="0" w:footer="0" w:header="0"/>
          <w:type w:val="continuous"/>
        </w:sectPr>
      </w:pPr>
    </w:p>
    <w:p>
      <w:pPr>
        <w:spacing w:after="0" w:line="1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5" w:right="4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DONEGAL MUTUAL INSURANCE COMPANY</w:t>
      </w:r>
    </w:p>
    <w:p>
      <w:pPr>
        <w:spacing w:after="0" w:line="3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NET ASSETS AVAILABLE FOR BENEFITS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432"/>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Income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Dividends and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4,280,151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3,870,278</w:t>
            </w:r>
          </w:p>
        </w:tc>
      </w:tr>
      <w:tr>
        <w:trPr>
          <w:trHeight w:val="223"/>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25,119,964</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21,686,421</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8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29,400,115</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25,556,699</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Employer</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4,261,641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4,017,586</w:t>
            </w: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Participants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8,333,538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7,823,215</w:t>
            </w:r>
          </w:p>
        </w:tc>
      </w:tr>
      <w:tr>
        <w:trPr>
          <w:trHeight w:val="223"/>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Rollover</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1,410,660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1,040,913</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8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14,005,839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12,881,714</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Additions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43,405,954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38,438,413</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(26,405,051)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(13,247,733)</w:t>
            </w:r>
          </w:p>
        </w:tc>
      </w:tr>
      <w:tr>
        <w:trPr>
          <w:trHeight w:val="223"/>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(6,376)</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(5,544)</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Deductions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(26,411,427)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(13,253,277)</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16,994,527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25,185,136</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of Year</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198,201,529</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173,016,393</w:t>
            </w:r>
          </w:p>
        </w:tc>
      </w:tr>
      <w:tr>
        <w:trPr>
          <w:trHeight w:val="216"/>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215,196,056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198,201,529</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of these financial statements.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DONEGAL MUTUAL INSURANCE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FINANCIAL STATEMENTS</w:t>
      </w:r>
    </w:p>
    <w:p>
      <w:pPr>
        <w:spacing w:after="0" w:line="221"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PLAN</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description of the Donegal Mutual Insurance Company 401(k) Plan (the “Plan”) provides only general information. Participants should refer to the Plan Document for a more complete description of the Plan’s provisions.</w:t>
      </w:r>
    </w:p>
    <w:p>
      <w:pPr>
        <w:spacing w:after="0" w:line="15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is a defined contribution 401(k) plan, which became effective January 1, 1998. All employees of Donegal Mutual Insurance Company (“the Company”) regularly scheduled to work in excess of 1,000 hours per year are eligible to participate as of the first payroll after 30 days of service after their employment with the Company commences. Part time and temporary employees are eligible to participate as of the first payroll after they work 1,000 hours in a year. Additionally, part time and temporary employees are eligible as of the first payroll after they work at least 500 hours in two consecutive years. The Plan is subject to the provisions of the Employee Retirement Income Security Act of 1974 (“ERISA”).</w:t>
      </w:r>
    </w:p>
    <w:p>
      <w:pPr>
        <w:spacing w:after="0" w:line="1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Contributions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Participants may contribute between 1% and 99% of their annual compensation up to the maximum limit established by the Internal Revenue Code (“IRC”). Contributions made to each participant’s account will be invested, based on the individual’s direction, in various investment options. The Plan also accepts Roth and voluntary after-tax contributions. The Company will contribute, on behalf of each participant, a sum equal to 100% of the first 3% of pre-tax or Roth participant deferrals and 50% of the next 6% of participant deferrals. Participants may also contribute qualified rollover balances from their prior plans.</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Newly hired employees are automatically enrolled into the Plan at 3% of eligible compensation. Employee deferrals will automatically be increased by 1% at the beginning of each successive year until the deferred percentage reaches 9%. Employees not selecting an investment option for their deferrals have their contributions invested in one of the Vanguard Target Retirement Date Series, based on the year in which the employee attains age 65. Employees have the option to opt out of participation or change their elective deferral at any time following their eligibility date.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DONEGAL MUTUAL INSURANCE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FINANCIAL STATEMENTS</w:t>
      </w:r>
    </w:p>
    <w:p>
      <w:pPr>
        <w:spacing w:after="0" w:line="221" w:lineRule="exact"/>
        <w:rPr>
          <w:sz w:val="20"/>
          <w:szCs w:val="20"/>
          <w:color w:val="auto"/>
        </w:rPr>
      </w:pPr>
    </w:p>
    <w:p>
      <w:pPr>
        <w:ind w:left="680" w:hanging="672"/>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PLAN (Cont’d)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Participant Accounts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contributions and Company matching contributions, as well as allocations of the Plan earnings and losses.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Participant accounts are charged with an allocation of administrative expenses that are paid by the Plan. Allocations are based on participant earnings, deferrals or account balances, as defined. The benefit to which a participant is entitled is the benefit that can be provided from the participant’s vested account.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Participant Loans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Plan does not currently allow participant loans.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Vesting</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Participants are immediately vested in their salary deferral, Roth deferral, catch-up contributions, rollover contributions, voluntary after-tax contributions, and all amounts that transferred into the Plan from certain predecessor company-sponsored defined contribution plans and earnings theron. Vesting of Company contributions and earnings thereon is based on years of service. A participant is 100% vested after 2 years of credited service.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DONEGAL MUTUAL INSURANCE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THE FINANCIAL STATEMENTS</w:t>
      </w:r>
    </w:p>
    <w:p>
      <w:pPr>
        <w:spacing w:after="0" w:line="216" w:lineRule="exact"/>
        <w:rPr>
          <w:sz w:val="20"/>
          <w:szCs w:val="20"/>
          <w:color w:val="auto"/>
        </w:rPr>
      </w:pPr>
    </w:p>
    <w:p>
      <w:pPr>
        <w:ind w:left="680" w:hanging="672"/>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PLAN (Cont’d)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Payment of Benefits</w:t>
      </w:r>
    </w:p>
    <w:p>
      <w:pPr>
        <w:spacing w:after="0" w:line="22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normal retirement date is the first of the month following attainment of age 65. Early retirement is possible at age 55. Benefits are paid in the form of a lump-sum distribution or annuity. Upon termination of service for other reasons, participants generally will receive a lump-sum distribution if the total of their vested balance does not exceed $1,000. If the vested balance exceeds $1,000, but is less than $7,000, the participant may elect to receive a lump-sum distribution, however, if no election is made and the participant is under the age of 62, the Plan Committee will pay the distribution in a direct rollover to an individual retirement account designated by the Plan Committee. If the vested balance exceeds $7,000, the assets will generally be held in the Plan until the participant’s normal or early retirement date. However, participants are entitled to receive the entire balance in their employee account and employer account (if vested) as a lump-sum distribution, as soon as administratively possible. There is a provision available to allow hardship withdrawals and certain other in-service withdrawals of benefits prior to termination of employment as defined in the Plan and in compliance with the IRC. Under the Secure 2.0 provisions, effective November 1, 2024, the Plan permits in-service withdrawals for Qualified Disaster Recovery Distributions and withdrawals to victims of domestic abuse, as well as permit recontribution of in-service withdrawals related to a home purchase.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Forfeitures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Forfeitures arising from participants who are less than 100% vested will be used to restore any accounts of participants reemployed during the Plan year or to reduce Company contributions per guidelines established by the Plan. Forfeitures used to reduce Company contributions totaled $33,673 in 2025 and $114,582 in 2024. As of December 31, 2025 and 2024, there were $4,670 and $351 of unallocated forfeitures, respectively.</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DONEGAL MUTUAL INSURANCE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THE FINANCIAL STATEMENTS</w:t>
      </w:r>
    </w:p>
    <w:p>
      <w:pPr>
        <w:spacing w:after="0" w:line="216" w:lineRule="exact"/>
        <w:rPr>
          <w:sz w:val="20"/>
          <w:szCs w:val="20"/>
          <w:color w:val="auto"/>
        </w:rPr>
      </w:pPr>
    </w:p>
    <w:p>
      <w:pPr>
        <w:ind w:left="660" w:right="5900" w:hanging="652"/>
        <w:spacing w:after="0" w:line="503"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Accounting</w:t>
      </w: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statements are prepared under the accrual basis of accounting in accordance with accounting principles generally accepted in the United States of America (“U.S. GAAP”).</w:t>
      </w:r>
    </w:p>
    <w:p>
      <w:pPr>
        <w:spacing w:after="0" w:line="15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changes in net assets available for benefits during the reporting period. The most significant estimate is the determination of the fair values of the Plan’s investments. Actual results could differ from those estimates.</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Investment Valuation and Income Recognition</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are valued at fair value. Fair value is the price that would be received to sell an asset or paid to transfer a liability in an orderly transaction between market participants at the measurement date. See Notes 3 and 4 for a discussion of fair value measurements.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Purchases and sales of securities are recorded on a trade-date basis. Interest income is recorded on an accrual basis. Dividends are recorded on the ex-dividend date. Net appreciation (depreciation) in fair value of investments includes the Plan’s realized gains and losses on investments bought and sold as well as net unrealized gains and losses on those held during the year.</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investment returns reflect certain fees paid by the investment funds to their affiliated investment advisors, transfer agents, and others as further described in each fund prospectus or other published documents. These fees are deducted by the investment funds prior to allocation of the Plan’s investment earnings activity and thus are not separately identifiable as an expense.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DONEGAL MUTUAL INSURANCE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NOTES TO THE FINANCIAL STATEMENTS</w:t>
      </w:r>
    </w:p>
    <w:p>
      <w:pPr>
        <w:spacing w:after="0" w:line="216" w:lineRule="exact"/>
        <w:rPr>
          <w:sz w:val="20"/>
          <w:szCs w:val="20"/>
          <w:color w:val="auto"/>
        </w:rPr>
      </w:pPr>
    </w:p>
    <w:p>
      <w:pPr>
        <w:ind w:left="680" w:hanging="672"/>
        <w:spacing w:after="0"/>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Contributions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Contributions from eligible participants and matching Company contributions are recorded in the period the related payroll deductions are made.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Payment of Benefits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Certain expenses of maintaining the Plan are paid by the Plan, unless otherwise paid by the Company. Expenses that are paid by the Company are excluded from these financial statements. Fees related to the administration of benefit payments to participants are charged directly to the participant's account and are included in administrative expenses. Investment related expenses are included in net appreciation (depreciation) in fair value of investments.</w:t>
      </w:r>
    </w:p>
    <w:p>
      <w:pPr>
        <w:spacing w:after="0" w:line="176"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COMMON/COLLECTIVE TRUST FUNDS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invests in three common/collective trust funds, the Galliard Stable Return Fund M Shares, Putnam Large Cap Value Trust and Columbia Trust Contrarian Core. The common/collective trust funds are valued at the net asset value ("NAV") per unit, as determined by the trustee at year-end. The NAV is used as the practical expedient to estimate fair value. The value is based upon the units of the collective trust fund held by the Plan at year end multiplied by the respective unit value. The unit value is based on the fair value of the underlying investments.</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funds’ investment objectives are to seek safety of principal and consistency of returns while attempting to maintain minimal volatility. To achieve its investment objectives, the funds' shares are primarily comprised of investment contracts including Guaranteed Investment Contracts (GICs), Separate Account GICs, and Security Backed Investment Contracts. GICs are issued by insurance companies which guarantee the return of principal and a stated rate of interest.</w:t>
      </w:r>
    </w:p>
    <w:p>
      <w:pPr>
        <w:spacing w:after="0" w:line="17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Plan’s investments in the common/collective trust funds are not subject to any withdrawal restrictions and distributions may be taken at any time. The Plan has no unfunded commitments relating to the common/collective trust funds at December 31, 2025 and 2024.</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DONEGAL MUTUAL INSURANCE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THE FINANCIAL STATEMENTS</w:t>
      </w:r>
    </w:p>
    <w:p>
      <w:pPr>
        <w:spacing w:after="0" w:line="216"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accounts for financial assets and liabilities using a framework that establishes a hierarchy that ranks the quality of inputs, or assumptions, used in the determination of fair value, and the Plan classifies financial assets and liabilities carried at fair value in one of the following three categories of inputs:</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225" w:lineRule="exact"/>
        <w:rPr>
          <w:rFonts w:ascii="Times New Roman" w:cs="Times New Roman" w:eastAsia="Times New Roman" w:hAnsi="Times New Roman"/>
          <w:sz w:val="18"/>
          <w:szCs w:val="18"/>
          <w:b w:val="1"/>
          <w:bCs w:val="1"/>
          <w:color w:val="auto"/>
        </w:rPr>
      </w:pPr>
    </w:p>
    <w:p>
      <w:pPr>
        <w:ind w:left="660" w:right="466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 directly or indirectly observable inputs other than Level 1 quoted prices; Level 3 – unobservable inputs not corroborated by market data.</w:t>
      </w:r>
    </w:p>
    <w:p>
      <w:pPr>
        <w:spacing w:after="0" w:line="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measurement level within the fair value hierarchy is based on the lowest level of any input that is significant to the fair value measurement.</w:t>
      </w:r>
    </w:p>
    <w:p>
      <w:pPr>
        <w:spacing w:after="0" w:line="16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is a description of the valuation methodologies used for investments measured at fair value. There have been no significant changes in the methodologies used or transfers between levels during the years ended December 31, 2025 or 2024.</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values employer securities and registered investment companies based on the closing price reported on the active markets on which the individual securities/funds are traded and are classified as Level 1. The Plan had no investments classified as Level 2 or 3 during the years ended December 31, 2025 and 2024.</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preceding methods described may produce a fair value calculation that may not be indicative of net realizable value or reflective of future fair values. Furthermore, although the Plan believes the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DONEGAL MUTUAL INSURANCE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THE FINANCIAL STATEMENTS</w:t>
      </w:r>
    </w:p>
    <w:p>
      <w:pPr>
        <w:spacing w:after="0" w:line="216"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(Cont’d)</w:t>
      </w:r>
    </w:p>
    <w:p>
      <w:pPr>
        <w:spacing w:after="0" w:line="229" w:lineRule="exact"/>
        <w:rPr>
          <w:sz w:val="20"/>
          <w:szCs w:val="20"/>
          <w:color w:val="auto"/>
        </w:rPr>
      </w:pPr>
    </w:p>
    <w:p>
      <w:pPr>
        <w:ind w:left="660" w:right="20" w:hanging="80"/>
        <w:spacing w:after="0" w:line="282" w:lineRule="auto"/>
        <w:rPr>
          <w:sz w:val="20"/>
          <w:szCs w:val="20"/>
          <w:color w:val="auto"/>
        </w:rPr>
      </w:pPr>
      <w:r>
        <w:rPr>
          <w:rFonts w:ascii="Times New Roman" w:cs="Times New Roman" w:eastAsia="Times New Roman" w:hAnsi="Times New Roman"/>
          <w:sz w:val="18"/>
          <w:szCs w:val="18"/>
          <w:color w:val="auto"/>
        </w:rPr>
        <w:t>The Plan evaluates assets and liabilities (if any) on a recurring basis to determine the appropriate level at which to classify them for each reporting 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fair value measurements for the Plan’s investments by level, within the fair value hierarchy as of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r>
      <w:tr>
        <w:trPr>
          <w:trHeight w:val="194"/>
        </w:trPr>
        <w:tc>
          <w:tcPr>
            <w:tcW w:w="6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00" w:type="dxa"/>
            <w:vAlign w:val="bottom"/>
          </w:tcPr>
          <w:p>
            <w:pPr>
              <w:spacing w:after="0"/>
              <w:rPr>
                <w:sz w:val="16"/>
                <w:szCs w:val="16"/>
                <w:color w:val="auto"/>
              </w:rPr>
            </w:pPr>
          </w:p>
        </w:tc>
      </w:tr>
      <w:tr>
        <w:trPr>
          <w:trHeight w:val="216"/>
        </w:trPr>
        <w:tc>
          <w:tcPr>
            <w:tcW w:w="6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Active Markets for</w:t>
            </w:r>
          </w:p>
        </w:tc>
      </w:tr>
      <w:tr>
        <w:trPr>
          <w:trHeight w:val="216"/>
        </w:trPr>
        <w:tc>
          <w:tcPr>
            <w:tcW w:w="6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r>
      <w:tr>
        <w:trPr>
          <w:trHeight w:val="245"/>
        </w:trPr>
        <w:tc>
          <w:tcPr>
            <w:tcW w:w="63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1)</w:t>
            </w:r>
          </w:p>
        </w:tc>
      </w:tr>
      <w:tr>
        <w:trPr>
          <w:trHeight w:val="223"/>
        </w:trPr>
        <w:tc>
          <w:tcPr>
            <w:tcW w:w="638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3"/>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9"/>
                <w:szCs w:val="19"/>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185,024,573</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185,024,573</w:t>
            </w:r>
          </w:p>
        </w:tc>
        <w:tc>
          <w:tcPr>
            <w:tcW w:w="100" w:type="dxa"/>
            <w:vAlign w:val="bottom"/>
            <w:shd w:val="clear" w:color="auto" w:fill="CCEEFF"/>
          </w:tcPr>
          <w:p>
            <w:pPr>
              <w:spacing w:after="0"/>
              <w:rPr>
                <w:sz w:val="18"/>
                <w:szCs w:val="18"/>
                <w:color w:val="auto"/>
              </w:rPr>
            </w:pP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Employer Securities</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10,339,993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10,339,993</w:t>
            </w:r>
          </w:p>
        </w:tc>
      </w:tr>
      <w:tr>
        <w:trPr>
          <w:trHeight w:val="236"/>
        </w:trPr>
        <w:tc>
          <w:tcPr>
            <w:tcW w:w="63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9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195,364,566</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195,364,566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63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Common/Collective Trust Funds measured at net asset value*</w:t>
            </w:r>
          </w:p>
        </w:tc>
        <w:tc>
          <w:tcPr>
            <w:tcW w:w="19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19,831,490</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41"/>
        </w:trPr>
        <w:tc>
          <w:tcPr>
            <w:tcW w:w="6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investments</w:t>
            </w:r>
          </w:p>
        </w:tc>
        <w:tc>
          <w:tcPr>
            <w:tcW w:w="1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215,196,056</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195,364,566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6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r>
      <w:tr>
        <w:trPr>
          <w:trHeight w:val="194"/>
        </w:trPr>
        <w:tc>
          <w:tcPr>
            <w:tcW w:w="6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00" w:type="dxa"/>
            <w:vAlign w:val="bottom"/>
          </w:tcPr>
          <w:p>
            <w:pPr>
              <w:spacing w:after="0"/>
              <w:rPr>
                <w:sz w:val="16"/>
                <w:szCs w:val="16"/>
                <w:color w:val="auto"/>
              </w:rPr>
            </w:pPr>
          </w:p>
        </w:tc>
      </w:tr>
      <w:tr>
        <w:trPr>
          <w:trHeight w:val="216"/>
        </w:trPr>
        <w:tc>
          <w:tcPr>
            <w:tcW w:w="6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Active Markets for</w:t>
            </w:r>
          </w:p>
        </w:tc>
      </w:tr>
      <w:tr>
        <w:trPr>
          <w:trHeight w:val="216"/>
        </w:trPr>
        <w:tc>
          <w:tcPr>
            <w:tcW w:w="6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r>
      <w:tr>
        <w:trPr>
          <w:trHeight w:val="245"/>
        </w:trPr>
        <w:tc>
          <w:tcPr>
            <w:tcW w:w="63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1)</w:t>
            </w:r>
          </w:p>
        </w:tc>
      </w:tr>
      <w:tr>
        <w:trPr>
          <w:trHeight w:val="223"/>
        </w:trPr>
        <w:tc>
          <w:tcPr>
            <w:tcW w:w="638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3"/>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170,278,611</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170,278,611</w:t>
            </w:r>
          </w:p>
        </w:tc>
        <w:tc>
          <w:tcPr>
            <w:tcW w:w="100" w:type="dxa"/>
            <w:vAlign w:val="bottom"/>
            <w:shd w:val="clear" w:color="auto" w:fill="CCEEFF"/>
          </w:tcPr>
          <w:p>
            <w:pPr>
              <w:spacing w:after="0"/>
              <w:rPr>
                <w:sz w:val="18"/>
                <w:szCs w:val="18"/>
                <w:color w:val="auto"/>
              </w:rPr>
            </w:pP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Employer Securities</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9,207,307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9,207,307</w:t>
            </w:r>
          </w:p>
        </w:tc>
      </w:tr>
      <w:tr>
        <w:trPr>
          <w:trHeight w:val="236"/>
        </w:trPr>
        <w:tc>
          <w:tcPr>
            <w:tcW w:w="63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9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179,485,918</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179,485,918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63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Common/Collective Trust Funds measured at net asset value*</w:t>
            </w:r>
          </w:p>
        </w:tc>
        <w:tc>
          <w:tcPr>
            <w:tcW w:w="19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18,715,611</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41"/>
        </w:trPr>
        <w:tc>
          <w:tcPr>
            <w:tcW w:w="6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investments</w:t>
            </w:r>
          </w:p>
        </w:tc>
        <w:tc>
          <w:tcPr>
            <w:tcW w:w="1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198,201,529</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179,485,918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*Certain investments that are measured at fair value using the net asset value per share (or its equivalent) practical expedient have not been categorized in the fair value hierarchy. The fair value amounts presented in this table are intended to permit reconciliation of the fair value hierarchy to the amounts presented in the Statement of Net Assets Available for Benefits.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DONEGAL MUTUAL INSURANCE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THE FINANCIAL STATEMENTS</w:t>
      </w:r>
    </w:p>
    <w:p>
      <w:pPr>
        <w:spacing w:after="0" w:line="216"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STATUS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January 1, 2021, the Plan adopted the Transamerica Retirement Solutions, LLC (“Transamerica”) Pre-approved 401(k) Profit Sharing Plan. The Internal Revenue Service (“IRS”) ruled on June 30, 2020 that the Plan qualifies under Section 401(a) of the Internal Revenue Code (“IRC”) under the pre-approved program and the related trust is, therefore, not subject to tax under the present income tax law. The Plan is required to operate in conformity with the IRC to maintain its qualification. The Plan administrator believes that the Plan is designed and is currently being operated, including the adoption of amendments, in compliance with the applicable requirements of the IRC.</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 GAAP requires Plan management to evaluate tax positions taken by the Plan and recognize a tax liability if the organization has taken an uncertain position that more likely than not would not be sustained upon examination by the IRS. The Plan administrator has analyzed the tax positions taken by the Plan and has concluded that as of December 31, 2025, there are no uncertain positions taken, or expected to be taken, that would require recognition of a liability or disclosure in the financial statements. The Plan is subject to routine audits by taxing jurisdictions. There are currently no audits in progress for any tax periods.</w:t>
      </w:r>
    </w:p>
    <w:p>
      <w:pPr>
        <w:spacing w:after="0" w:line="17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AND PARTY-IN-INTEREST TRANSACTIONS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Donegal Group Inc. is a regional insurance holding company that was formed by the Company in 1986. The Plan held 471,167 shares of Class A and 52,350 shares of Class B Donegal Group Inc. common stock with fair values of $9,413,915 and $926,078, respectively, as of December 31, 2025. The Plan held 547,422 shares of Class A and 52,352 shares of Class B Donegal Group Inc. common stock with fair values of $8,468,617 and $738,690, respectively, as of December 31, 2024. The net realized/unrealized appreciation (depreciation) in fair value of Donegal Group Inc. common stock (including Class A and Class B) during 2025 and 2024 was $2,663,778 and $859,360, respectively. Dividends received from Donegal Group Inc. in 2025 and 2024 were $415,559 and $406,084, respectively.</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DONEGAL MUTUAL INSURANCE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THE FINANCIAL STATEMENTS</w:t>
      </w:r>
    </w:p>
    <w:p>
      <w:pPr>
        <w:spacing w:after="0" w:line="216"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OF PLAN ASSETS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Plan’s assets are administered under a contract with Transamerica since June 1, 2017. Transamerica invests funds received from contributions, investment sales, interest, and dividend income and makes distribution payments to participants.</w:t>
      </w:r>
    </w:p>
    <w:p>
      <w:pPr>
        <w:spacing w:after="0" w:line="16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administrative functions are performed by officers or employees of the Plan’s sponsor. No such officer or employee receives compensation from the Plan.</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TERMINATION</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it has not expressed an intention to do so, the Company has the right under the Plan to discontinue its contributions at any time and to terminate the Plan subject to the provisions of ERISA. In the event of Plan termination, participants will become 100% vested in their accounts.</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Plan’s management has evaluated subsequent events through June 18, 2026, the date the financial statements were issued.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18"/>
          <w:szCs w:val="18"/>
          <w:b w:val="1"/>
          <w:bCs w:val="1"/>
          <w:color w:val="auto"/>
        </w:rPr>
        <w:t>SUPPLEMENTAL SCHEDULE</w:t>
      </w:r>
    </w:p>
    <w:p>
      <w:pPr>
        <w:spacing w:after="0" w:line="36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6"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H - Financial Information (Form 5500)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H - Line 4(i) - Schedule of Assets (Held at End of Year)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Plan Sponsor: Donegal Mutual Insurance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Plan: Donegal Mutual Insurance Company 401(k)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Employer Identification Number: 23-1336198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Digit Plan Number: 003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700" w:type="dxa"/>
            <w:vAlign w:val="bottom"/>
          </w:tcPr>
          <w:p>
            <w:pPr>
              <w:ind w:left="2420"/>
              <w:spacing w:after="0"/>
              <w:rPr>
                <w:sz w:val="20"/>
                <w:szCs w:val="20"/>
                <w:color w:val="auto"/>
              </w:rPr>
            </w:pPr>
            <w:r>
              <w:rPr>
                <w:rFonts w:ascii="Times New Roman" w:cs="Times New Roman" w:eastAsia="Times New Roman" w:hAnsi="Times New Roman"/>
                <w:sz w:val="18"/>
                <w:szCs w:val="18"/>
                <w:b w:val="1"/>
                <w:bCs w:val="1"/>
                <w:color w:val="auto"/>
              </w:rPr>
              <w:t>(b)</w:t>
            </w:r>
          </w:p>
        </w:tc>
        <w:tc>
          <w:tcPr>
            <w:tcW w:w="1660" w:type="dxa"/>
            <w:vAlign w:val="bottom"/>
          </w:tcPr>
          <w:p>
            <w:pPr>
              <w:spacing w:after="0"/>
              <w:rPr>
                <w:sz w:val="18"/>
                <w:szCs w:val="18"/>
                <w:color w:val="auto"/>
              </w:rPr>
            </w:pPr>
          </w:p>
        </w:tc>
        <w:tc>
          <w:tcPr>
            <w:tcW w:w="254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w:t>
            </w:r>
          </w:p>
        </w:tc>
      </w:tr>
      <w:tr>
        <w:trPr>
          <w:trHeight w:val="216"/>
        </w:trPr>
        <w:tc>
          <w:tcPr>
            <w:tcW w:w="5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200" w:type="dxa"/>
            <w:vAlign w:val="bottom"/>
            <w:gridSpan w:val="2"/>
          </w:tcPr>
          <w:p>
            <w:pPr>
              <w:jc w:val="center"/>
              <w:ind w:left="211"/>
              <w:spacing w:after="0"/>
              <w:rPr>
                <w:sz w:val="20"/>
                <w:szCs w:val="20"/>
                <w:color w:val="auto"/>
              </w:rPr>
            </w:pPr>
            <w:r>
              <w:rPr>
                <w:rFonts w:ascii="Times New Roman" w:cs="Times New Roman" w:eastAsia="Times New Roman" w:hAnsi="Times New Roman"/>
                <w:sz w:val="18"/>
                <w:szCs w:val="18"/>
                <w:b w:val="1"/>
                <w:bCs w:val="1"/>
                <w:color w:val="auto"/>
              </w:rPr>
              <w:t>Description of investment including</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2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b w:val="1"/>
                <w:bCs w:val="1"/>
                <w:color w:val="auto"/>
                <w:w w:val="99"/>
              </w:rPr>
              <w:t>maturity date, rate of interest, collateral,</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Current</w:t>
            </w:r>
          </w:p>
        </w:tc>
      </w:tr>
      <w:tr>
        <w:trPr>
          <w:trHeight w:val="245"/>
        </w:trPr>
        <w:tc>
          <w:tcPr>
            <w:tcW w:w="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w:t>
            </w:r>
          </w:p>
        </w:tc>
        <w:tc>
          <w:tcPr>
            <w:tcW w:w="47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Identity of issue, borrower, lessor, or similar party</w:t>
            </w:r>
          </w:p>
        </w:tc>
        <w:tc>
          <w:tcPr>
            <w:tcW w:w="4200" w:type="dxa"/>
            <w:vAlign w:val="bottom"/>
            <w:gridSpan w:val="2"/>
          </w:tcPr>
          <w:p>
            <w:pPr>
              <w:jc w:val="center"/>
              <w:ind w:left="271"/>
              <w:spacing w:after="0"/>
              <w:rPr>
                <w:sz w:val="20"/>
                <w:szCs w:val="20"/>
                <w:color w:val="auto"/>
              </w:rPr>
            </w:pPr>
            <w:r>
              <w:rPr>
                <w:rFonts w:ascii="Times New Roman" w:cs="Times New Roman" w:eastAsia="Times New Roman" w:hAnsi="Times New Roman"/>
                <w:sz w:val="18"/>
                <w:szCs w:val="18"/>
                <w:b w:val="1"/>
                <w:bCs w:val="1"/>
                <w:color w:val="auto"/>
              </w:rPr>
              <w:t>par of maturity value***</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80" w:type="dxa"/>
            <w:vAlign w:val="bottom"/>
          </w:tcPr>
          <w:p>
            <w:pPr>
              <w:spacing w:after="0"/>
              <w:rPr>
                <w:sz w:val="18"/>
                <w:szCs w:val="18"/>
                <w:color w:val="auto"/>
              </w:rPr>
            </w:pPr>
          </w:p>
        </w:tc>
        <w:tc>
          <w:tcPr>
            <w:tcW w:w="47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Putnam Large Cap Value Trust CL-I</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459,519</w:t>
            </w:r>
          </w:p>
        </w:tc>
        <w:tc>
          <w:tcPr>
            <w:tcW w:w="2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Common/Collective Trust</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12,039,410</w:t>
            </w:r>
          </w:p>
        </w:tc>
      </w:tr>
      <w:tr>
        <w:trPr>
          <w:trHeight w:val="216"/>
        </w:trPr>
        <w:tc>
          <w:tcPr>
            <w:tcW w:w="5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Columbia Trust Contrarian Core 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174,116</w:t>
            </w: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Common/Collective Trust</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6,337,830</w:t>
            </w:r>
          </w:p>
        </w:tc>
      </w:tr>
      <w:tr>
        <w:trPr>
          <w:trHeight w:val="236"/>
        </w:trPr>
        <w:tc>
          <w:tcPr>
            <w:tcW w:w="58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Galliard Stable Return C</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22,952</w:t>
            </w:r>
          </w:p>
        </w:tc>
        <w:tc>
          <w:tcPr>
            <w:tcW w:w="2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Common/Collective Trust</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1,454,250</w:t>
            </w:r>
          </w:p>
        </w:tc>
      </w:tr>
      <w:tr>
        <w:trPr>
          <w:trHeight w:val="203"/>
        </w:trPr>
        <w:tc>
          <w:tcPr>
            <w:tcW w:w="580" w:type="dxa"/>
            <w:vAlign w:val="bottom"/>
            <w:tcBorders>
              <w:top w:val="single" w:sz="8" w:color="CCEEFF"/>
            </w:tcBorders>
          </w:tcPr>
          <w:p>
            <w:pPr>
              <w:spacing w:after="0"/>
              <w:rPr>
                <w:sz w:val="17"/>
                <w:szCs w:val="17"/>
                <w:color w:val="auto"/>
              </w:rPr>
            </w:pPr>
          </w:p>
        </w:tc>
        <w:tc>
          <w:tcPr>
            <w:tcW w:w="47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common/collective trust funds</w:t>
            </w:r>
          </w:p>
        </w:tc>
        <w:tc>
          <w:tcPr>
            <w:tcW w:w="1660" w:type="dxa"/>
            <w:vAlign w:val="bottom"/>
            <w:tcBorders>
              <w:top w:val="single" w:sz="8" w:color="CCEEFF"/>
            </w:tcBorders>
          </w:tcPr>
          <w:p>
            <w:pPr>
              <w:spacing w:after="0"/>
              <w:rPr>
                <w:sz w:val="17"/>
                <w:szCs w:val="17"/>
                <w:color w:val="auto"/>
              </w:rPr>
            </w:pPr>
          </w:p>
        </w:tc>
        <w:tc>
          <w:tcPr>
            <w:tcW w:w="25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19,831,490</w:t>
            </w:r>
          </w:p>
        </w:tc>
        <w:tc>
          <w:tcPr>
            <w:tcW w:w="100" w:type="dxa"/>
            <w:vAlign w:val="bottom"/>
            <w:tcBorders>
              <w:top w:val="single" w:sz="8" w:color="CCEEFF"/>
            </w:tcBorders>
          </w:tcPr>
          <w:p>
            <w:pPr>
              <w:spacing w:after="0"/>
              <w:rPr>
                <w:sz w:val="17"/>
                <w:szCs w:val="17"/>
                <w:color w:val="auto"/>
              </w:rPr>
            </w:pPr>
          </w:p>
        </w:tc>
      </w:tr>
      <w:tr>
        <w:trPr>
          <w:trHeight w:val="216"/>
        </w:trPr>
        <w:tc>
          <w:tcPr>
            <w:tcW w:w="5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Capital Appreciation Fund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172,666</w:t>
            </w:r>
          </w:p>
        </w:tc>
        <w:tc>
          <w:tcPr>
            <w:tcW w:w="2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6,169,354</w:t>
            </w:r>
          </w:p>
        </w:tc>
      </w:tr>
      <w:tr>
        <w:trPr>
          <w:trHeight w:val="216"/>
        </w:trPr>
        <w:tc>
          <w:tcPr>
            <w:tcW w:w="5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American Funds New Perspective Fund R6</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96,993</w:t>
            </w: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6,854,502</w:t>
            </w:r>
          </w:p>
        </w:tc>
      </w:tr>
      <w:tr>
        <w:trPr>
          <w:trHeight w:val="216"/>
        </w:trPr>
        <w:tc>
          <w:tcPr>
            <w:tcW w:w="5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Small Cap Stock Fund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139,437</w:t>
            </w:r>
          </w:p>
        </w:tc>
        <w:tc>
          <w:tcPr>
            <w:tcW w:w="2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7,953,484</w:t>
            </w:r>
          </w:p>
        </w:tc>
      </w:tr>
      <w:tr>
        <w:trPr>
          <w:trHeight w:val="216"/>
        </w:trPr>
        <w:tc>
          <w:tcPr>
            <w:tcW w:w="5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Vanguard Institutional Target Retirement 2020</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70,948</w:t>
            </w: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1,947,523</w:t>
            </w:r>
          </w:p>
        </w:tc>
      </w:tr>
      <w:tr>
        <w:trPr>
          <w:trHeight w:val="216"/>
        </w:trPr>
        <w:tc>
          <w:tcPr>
            <w:tcW w:w="5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Vanguard Institutional Target Retirement 2025</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100,637</w:t>
            </w:r>
          </w:p>
        </w:tc>
        <w:tc>
          <w:tcPr>
            <w:tcW w:w="2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2,007,706</w:t>
            </w:r>
          </w:p>
        </w:tc>
      </w:tr>
      <w:tr>
        <w:trPr>
          <w:trHeight w:val="216"/>
        </w:trPr>
        <w:tc>
          <w:tcPr>
            <w:tcW w:w="5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Vanguard Institutional Target Retirement 2030</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370,256</w:t>
            </w: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15,672,918</w:t>
            </w:r>
          </w:p>
        </w:tc>
      </w:tr>
      <w:tr>
        <w:trPr>
          <w:trHeight w:val="216"/>
        </w:trPr>
        <w:tc>
          <w:tcPr>
            <w:tcW w:w="5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Vanguard Institutional Target Retirement 2035</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192,157</w:t>
            </w:r>
          </w:p>
        </w:tc>
        <w:tc>
          <w:tcPr>
            <w:tcW w:w="2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5,261,265</w:t>
            </w:r>
          </w:p>
        </w:tc>
      </w:tr>
      <w:tr>
        <w:trPr>
          <w:trHeight w:val="216"/>
        </w:trPr>
        <w:tc>
          <w:tcPr>
            <w:tcW w:w="5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Vanguard Institutional Target Retirement 2040</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470,354</w:t>
            </w: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23,494,206</w:t>
            </w:r>
          </w:p>
        </w:tc>
      </w:tr>
      <w:tr>
        <w:trPr>
          <w:trHeight w:val="216"/>
        </w:trPr>
        <w:tc>
          <w:tcPr>
            <w:tcW w:w="5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Vanguard Institutional Target Retirement 2045</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165,327</w:t>
            </w:r>
          </w:p>
        </w:tc>
        <w:tc>
          <w:tcPr>
            <w:tcW w:w="2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5,743,459</w:t>
            </w:r>
          </w:p>
        </w:tc>
      </w:tr>
      <w:tr>
        <w:trPr>
          <w:trHeight w:val="216"/>
        </w:trPr>
        <w:tc>
          <w:tcPr>
            <w:tcW w:w="5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Vanguard Institutional Target Retirement 2050</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75,345</w:t>
            </w: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4,466,477</w:t>
            </w:r>
          </w:p>
        </w:tc>
      </w:tr>
      <w:tr>
        <w:trPr>
          <w:trHeight w:val="216"/>
        </w:trPr>
        <w:tc>
          <w:tcPr>
            <w:tcW w:w="5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Vanguard Institutional Target Retirement 2055</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66,634</w:t>
            </w:r>
          </w:p>
        </w:tc>
        <w:tc>
          <w:tcPr>
            <w:tcW w:w="2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4,342,328</w:t>
            </w:r>
          </w:p>
        </w:tc>
      </w:tr>
      <w:tr>
        <w:trPr>
          <w:trHeight w:val="216"/>
        </w:trPr>
        <w:tc>
          <w:tcPr>
            <w:tcW w:w="5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Vanguard Institutional Target Retirement 2060</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45,107</w:t>
            </w: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2,750,604</w:t>
            </w:r>
          </w:p>
        </w:tc>
      </w:tr>
      <w:tr>
        <w:trPr>
          <w:trHeight w:val="216"/>
        </w:trPr>
        <w:tc>
          <w:tcPr>
            <w:tcW w:w="5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Vanguard Institutional Target Retirement 2065</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36,951</w:t>
            </w:r>
          </w:p>
        </w:tc>
        <w:tc>
          <w:tcPr>
            <w:tcW w:w="2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1,479,141</w:t>
            </w:r>
          </w:p>
        </w:tc>
      </w:tr>
      <w:tr>
        <w:trPr>
          <w:trHeight w:val="216"/>
        </w:trPr>
        <w:tc>
          <w:tcPr>
            <w:tcW w:w="5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Vanguard Institutional Target Retirement 2070</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183,216</w:t>
            </w:r>
          </w:p>
        </w:tc>
      </w:tr>
      <w:tr>
        <w:trPr>
          <w:trHeight w:val="216"/>
        </w:trPr>
        <w:tc>
          <w:tcPr>
            <w:tcW w:w="5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Vanguard Institutional Target Retirement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1,065,390</w:t>
            </w:r>
          </w:p>
        </w:tc>
        <w:tc>
          <w:tcPr>
            <w:tcW w:w="2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14,776,966</w:t>
            </w:r>
          </w:p>
        </w:tc>
      </w:tr>
      <w:tr>
        <w:trPr>
          <w:trHeight w:val="216"/>
        </w:trPr>
        <w:tc>
          <w:tcPr>
            <w:tcW w:w="5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MFS International Diversification R6</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194,605</w:t>
            </w: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5,406,123</w:t>
            </w:r>
          </w:p>
        </w:tc>
      </w:tr>
      <w:tr>
        <w:trPr>
          <w:trHeight w:val="216"/>
        </w:trPr>
        <w:tc>
          <w:tcPr>
            <w:tcW w:w="5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Advisor Equity Growth Z</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769,937</w:t>
            </w:r>
          </w:p>
        </w:tc>
        <w:tc>
          <w:tcPr>
            <w:tcW w:w="2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20,872,990</w:t>
            </w:r>
          </w:p>
        </w:tc>
      </w:tr>
      <w:tr>
        <w:trPr>
          <w:trHeight w:val="216"/>
        </w:trPr>
        <w:tc>
          <w:tcPr>
            <w:tcW w:w="5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Fidelity 500 Index Instl Prem</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97,511</w:t>
            </w: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23,180,204</w:t>
            </w:r>
          </w:p>
        </w:tc>
      </w:tr>
      <w:tr>
        <w:trPr>
          <w:trHeight w:val="216"/>
        </w:trPr>
        <w:tc>
          <w:tcPr>
            <w:tcW w:w="5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US Bond Index</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276,337</w:t>
            </w:r>
          </w:p>
        </w:tc>
        <w:tc>
          <w:tcPr>
            <w:tcW w:w="2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2,918,120</w:t>
            </w:r>
          </w:p>
        </w:tc>
      </w:tr>
      <w:tr>
        <w:trPr>
          <w:trHeight w:val="216"/>
        </w:trPr>
        <w:tc>
          <w:tcPr>
            <w:tcW w:w="5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Thornburg Strategic Inc R6</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148,395</w:t>
            </w: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1,727,321</w:t>
            </w:r>
          </w:p>
        </w:tc>
      </w:tr>
      <w:tr>
        <w:trPr>
          <w:trHeight w:val="216"/>
        </w:trPr>
        <w:tc>
          <w:tcPr>
            <w:tcW w:w="5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Baron Asset Fund R6</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36,902</w:t>
            </w:r>
          </w:p>
        </w:tc>
        <w:tc>
          <w:tcPr>
            <w:tcW w:w="2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3,542,235</w:t>
            </w:r>
          </w:p>
        </w:tc>
      </w:tr>
      <w:tr>
        <w:trPr>
          <w:trHeight w:val="216"/>
        </w:trPr>
        <w:tc>
          <w:tcPr>
            <w:tcW w:w="5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 Rowe Price Mid Cap Value Fund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210,502</w:t>
            </w: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6,750,787</w:t>
            </w:r>
          </w:p>
        </w:tc>
      </w:tr>
      <w:tr>
        <w:trPr>
          <w:trHeight w:val="216"/>
        </w:trPr>
        <w:tc>
          <w:tcPr>
            <w:tcW w:w="5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Dodge &amp; Cox Inc X</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441,184</w:t>
            </w:r>
          </w:p>
        </w:tc>
        <w:tc>
          <w:tcPr>
            <w:tcW w:w="2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5,673,622</w:t>
            </w:r>
          </w:p>
        </w:tc>
      </w:tr>
      <w:tr>
        <w:trPr>
          <w:trHeight w:val="216"/>
        </w:trPr>
        <w:tc>
          <w:tcPr>
            <w:tcW w:w="5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Vanguard Federal Money Market Fund Investor</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7,389,998</w:t>
            </w: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7,394,969</w:t>
            </w:r>
          </w:p>
        </w:tc>
      </w:tr>
      <w:tr>
        <w:trPr>
          <w:trHeight w:val="236"/>
        </w:trPr>
        <w:tc>
          <w:tcPr>
            <w:tcW w:w="58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Neuberger &amp; Berman Genesis R6</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82,900</w:t>
            </w:r>
          </w:p>
        </w:tc>
        <w:tc>
          <w:tcPr>
            <w:tcW w:w="2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4,455,053</w:t>
            </w:r>
          </w:p>
        </w:tc>
      </w:tr>
      <w:tr>
        <w:trPr>
          <w:trHeight w:val="225"/>
        </w:trPr>
        <w:tc>
          <w:tcPr>
            <w:tcW w:w="5280" w:type="dxa"/>
            <w:vAlign w:val="bottom"/>
            <w:tcBorders>
              <w:top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FFFFFF"/>
              </w:rPr>
              <w:t xml:space="preserve">*   </w:t>
            </w:r>
            <w:r>
              <w:rPr>
                <w:rFonts w:ascii="Times New Roman" w:cs="Times New Roman" w:eastAsia="Times New Roman" w:hAnsi="Times New Roman"/>
                <w:sz w:val="18"/>
                <w:szCs w:val="18"/>
                <w:b w:val="1"/>
                <w:bCs w:val="1"/>
                <w:color w:val="000000"/>
              </w:rPr>
              <w:t>Total registered investment companies</w:t>
            </w:r>
          </w:p>
        </w:tc>
        <w:tc>
          <w:tcPr>
            <w:tcW w:w="1660" w:type="dxa"/>
            <w:vAlign w:val="bottom"/>
            <w:tcBorders>
              <w:top w:val="single" w:sz="8" w:color="CCEEFF"/>
            </w:tcBorders>
          </w:tcPr>
          <w:p>
            <w:pPr>
              <w:spacing w:after="0"/>
              <w:rPr>
                <w:sz w:val="19"/>
                <w:szCs w:val="19"/>
                <w:color w:val="auto"/>
              </w:rPr>
            </w:pPr>
          </w:p>
        </w:tc>
        <w:tc>
          <w:tcPr>
            <w:tcW w:w="2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185,024,573</w:t>
            </w:r>
          </w:p>
        </w:tc>
        <w:tc>
          <w:tcPr>
            <w:tcW w:w="100" w:type="dxa"/>
            <w:vAlign w:val="bottom"/>
            <w:tcBorders>
              <w:top w:val="single" w:sz="8" w:color="CCEEFF"/>
            </w:tcBorders>
          </w:tcPr>
          <w:p>
            <w:pPr>
              <w:spacing w:after="0"/>
              <w:rPr>
                <w:sz w:val="19"/>
                <w:szCs w:val="19"/>
                <w:color w:val="auto"/>
              </w:rPr>
            </w:pPr>
          </w:p>
        </w:tc>
      </w:tr>
      <w:tr>
        <w:trPr>
          <w:trHeight w:val="494"/>
        </w:trPr>
        <w:tc>
          <w:tcPr>
            <w:tcW w:w="5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60" w:type="dxa"/>
            <w:vAlign w:val="bottom"/>
          </w:tcPr>
          <w:p>
            <w:pPr>
              <w:jc w:val="right"/>
              <w:ind w:right="1151"/>
              <w:spacing w:after="0"/>
              <w:rPr>
                <w:sz w:val="20"/>
                <w:szCs w:val="20"/>
                <w:color w:val="auto"/>
              </w:rPr>
            </w:pPr>
            <w:r>
              <w:rPr>
                <w:rFonts w:ascii="Times New Roman" w:cs="Times New Roman" w:eastAsia="Times New Roman" w:hAnsi="Times New Roman"/>
                <w:sz w:val="14"/>
                <w:szCs w:val="14"/>
                <w:color w:val="auto"/>
              </w:rPr>
              <w:t>15</w:t>
            </w:r>
          </w:p>
        </w:tc>
        <w:tc>
          <w:tcPr>
            <w:tcW w:w="2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8"/>
        </w:trPr>
        <w:tc>
          <w:tcPr>
            <w:tcW w:w="580" w:type="dxa"/>
            <w:vAlign w:val="bottom"/>
            <w:tcBorders>
              <w:bottom w:val="single" w:sz="8" w:color="auto"/>
            </w:tcBorders>
          </w:tcPr>
          <w:p>
            <w:pPr>
              <w:spacing w:after="0"/>
              <w:rPr>
                <w:sz w:val="5"/>
                <w:szCs w:val="5"/>
                <w:color w:val="auto"/>
              </w:rPr>
            </w:pPr>
          </w:p>
        </w:tc>
        <w:tc>
          <w:tcPr>
            <w:tcW w:w="47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H - Financial Information (Form 5500)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H - Line 4(i) - Schedule of Assets (Held at End of Year)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Plan Sponsor: Donegal Mutual Insurance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Plan: Donegal Mutual Insurance Company 401(k)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Employer Identification Number: 23-1336198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Digit Plan Number: 003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920" w:type="dxa"/>
            <w:vAlign w:val="bottom"/>
          </w:tcPr>
          <w:p>
            <w:pPr>
              <w:ind w:left="2420"/>
              <w:spacing w:after="0"/>
              <w:rPr>
                <w:sz w:val="20"/>
                <w:szCs w:val="20"/>
                <w:color w:val="auto"/>
              </w:rPr>
            </w:pPr>
            <w:r>
              <w:rPr>
                <w:rFonts w:ascii="Times New Roman" w:cs="Times New Roman" w:eastAsia="Times New Roman" w:hAnsi="Times New Roman"/>
                <w:sz w:val="18"/>
                <w:szCs w:val="18"/>
                <w:b w:val="1"/>
                <w:bCs w:val="1"/>
                <w:color w:val="auto"/>
              </w:rPr>
              <w:t>(b)</w:t>
            </w:r>
          </w:p>
        </w:tc>
        <w:tc>
          <w:tcPr>
            <w:tcW w:w="1440" w:type="dxa"/>
            <w:vAlign w:val="bottom"/>
          </w:tcPr>
          <w:p>
            <w:pPr>
              <w:spacing w:after="0"/>
              <w:rPr>
                <w:sz w:val="18"/>
                <w:szCs w:val="18"/>
                <w:color w:val="auto"/>
              </w:rPr>
            </w:pPr>
          </w:p>
        </w:tc>
        <w:tc>
          <w:tcPr>
            <w:tcW w:w="25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w:t>
            </w: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investment including</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maturity date, rate of interest, collateral,</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Current</w:t>
            </w:r>
          </w:p>
        </w:tc>
        <w:tc>
          <w:tcPr>
            <w:tcW w:w="0" w:type="dxa"/>
            <w:vAlign w:val="bottom"/>
          </w:tcPr>
          <w:p>
            <w:pPr>
              <w:spacing w:after="0"/>
              <w:rPr>
                <w:sz w:val="1"/>
                <w:szCs w:val="1"/>
                <w:color w:val="auto"/>
              </w:rPr>
            </w:pPr>
          </w:p>
        </w:tc>
      </w:tr>
      <w:tr>
        <w:trPr>
          <w:trHeight w:val="245"/>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49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Identity of issue, borrower, lessor, or similar party</w:t>
            </w:r>
          </w:p>
        </w:tc>
        <w:tc>
          <w:tcPr>
            <w:tcW w:w="398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par of maturity value***</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10"/>
        </w:trPr>
        <w:tc>
          <w:tcPr>
            <w:tcW w:w="580" w:type="dxa"/>
            <w:vAlign w:val="bottom"/>
            <w:tcBorders>
              <w:bottom w:val="single" w:sz="8" w:color="CCEEFF"/>
            </w:tcBorders>
          </w:tcPr>
          <w:p>
            <w:pPr>
              <w:spacing w:after="0"/>
              <w:rPr>
                <w:sz w:val="18"/>
                <w:szCs w:val="18"/>
                <w:color w:val="auto"/>
              </w:rPr>
            </w:pPr>
          </w:p>
        </w:tc>
        <w:tc>
          <w:tcPr>
            <w:tcW w:w="49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Donegal Group Inc.</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471,167</w:t>
            </w:r>
          </w:p>
        </w:tc>
        <w:tc>
          <w:tcPr>
            <w:tcW w:w="2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Shares of Class A Common Stock</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Donegal Group Inc.</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52,350</w:t>
            </w: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926,078</w:t>
            </w:r>
          </w:p>
        </w:tc>
        <w:tc>
          <w:tcPr>
            <w:tcW w:w="0" w:type="dxa"/>
            <w:vAlign w:val="bottom"/>
          </w:tcPr>
          <w:p>
            <w:pPr>
              <w:spacing w:after="0"/>
              <w:rPr>
                <w:sz w:val="1"/>
                <w:szCs w:val="1"/>
                <w:color w:val="auto"/>
              </w:rPr>
            </w:pPr>
          </w:p>
        </w:tc>
      </w:tr>
      <w:tr>
        <w:trPr>
          <w:trHeight w:val="223"/>
        </w:trPr>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employer securities</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25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10,339,993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0" w:type="dxa"/>
            <w:vAlign w:val="bottom"/>
            <w:shd w:val="clear" w:color="auto" w:fill="CCEEFF"/>
          </w:tcPr>
          <w:p>
            <w:pPr>
              <w:spacing w:after="0"/>
              <w:rPr>
                <w:sz w:val="20"/>
                <w:szCs w:val="20"/>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4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215,196,056</w:t>
            </w: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 Party-in-interest</w:t>
            </w:r>
          </w:p>
        </w:tc>
        <w:tc>
          <w:tcPr>
            <w:tcW w:w="14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0" w:type="dxa"/>
            <w:vAlign w:val="bottom"/>
          </w:tcPr>
          <w:p>
            <w:pPr>
              <w:spacing w:after="0"/>
              <w:rPr>
                <w:sz w:val="16"/>
                <w:szCs w:val="16"/>
                <w:color w:val="auto"/>
              </w:rPr>
            </w:pPr>
          </w:p>
        </w:tc>
        <w:tc>
          <w:tcPr>
            <w:tcW w:w="492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20"/>
        <w:spacing w:after="0"/>
        <w:rPr>
          <w:sz w:val="20"/>
          <w:szCs w:val="20"/>
          <w:color w:val="auto"/>
        </w:rPr>
      </w:pPr>
      <w:r>
        <w:rPr>
          <w:rFonts w:ascii="Times New Roman" w:cs="Times New Roman" w:eastAsia="Times New Roman" w:hAnsi="Times New Roman"/>
          <w:sz w:val="18"/>
          <w:szCs w:val="18"/>
          <w:color w:val="auto"/>
        </w:rPr>
        <w:t>** Historical cost information is not required to be disclosed for participant-directed investments.</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***There is no maturity date, rate of interest, collateral, par or maturity value for the investments in the Plan.</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DONEGAL MUTUAL INSURANCE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7740" w:type="dxa"/>
            <w:vAlign w:val="bottom"/>
            <w:gridSpan w:val="3"/>
          </w:tcPr>
          <w:p>
            <w:pPr>
              <w:ind w:left="2140"/>
              <w:spacing w:after="0"/>
              <w:rPr>
                <w:sz w:val="20"/>
                <w:szCs w:val="20"/>
                <w:color w:val="auto"/>
              </w:rPr>
            </w:pPr>
            <w:r>
              <w:rPr>
                <w:rFonts w:ascii="Times New Roman" w:cs="Times New Roman" w:eastAsia="Times New Roman" w:hAnsi="Times New Roman"/>
                <w:sz w:val="18"/>
                <w:szCs w:val="18"/>
                <w:color w:val="auto"/>
              </w:rPr>
              <w:t>DONEGAL MUTUAL INSURANCE</w:t>
            </w:r>
          </w:p>
        </w:tc>
      </w:tr>
      <w:tr>
        <w:trPr>
          <w:trHeight w:val="234"/>
        </w:trPr>
        <w:tc>
          <w:tcPr>
            <w:tcW w:w="3500" w:type="dxa"/>
            <w:vAlign w:val="bottom"/>
          </w:tcPr>
          <w:p>
            <w:pPr>
              <w:spacing w:after="0"/>
              <w:rPr>
                <w:sz w:val="20"/>
                <w:szCs w:val="20"/>
                <w:color w:val="auto"/>
              </w:rPr>
            </w:pPr>
          </w:p>
        </w:tc>
        <w:tc>
          <w:tcPr>
            <w:tcW w:w="7740" w:type="dxa"/>
            <w:vAlign w:val="bottom"/>
            <w:gridSpan w:val="3"/>
          </w:tcPr>
          <w:p>
            <w:pPr>
              <w:ind w:left="2140"/>
              <w:spacing w:after="0"/>
              <w:rPr>
                <w:sz w:val="20"/>
                <w:szCs w:val="20"/>
                <w:color w:val="auto"/>
              </w:rPr>
            </w:pPr>
            <w:r>
              <w:rPr>
                <w:rFonts w:ascii="Times New Roman" w:cs="Times New Roman" w:eastAsia="Times New Roman" w:hAnsi="Times New Roman"/>
                <w:sz w:val="18"/>
                <w:szCs w:val="18"/>
                <w:color w:val="auto"/>
              </w:rPr>
              <w:t>COMPANY 401(k) PLAN</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18, 2026</w:t>
            </w:r>
          </w:p>
        </w:tc>
        <w:tc>
          <w:tcPr>
            <w:tcW w:w="24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gridSpan w:val="2"/>
          </w:tcPr>
          <w:p>
            <w:pPr>
              <w:jc w:val="center"/>
              <w:ind w:right="3020"/>
              <w:spacing w:after="0"/>
              <w:rPr>
                <w:sz w:val="20"/>
                <w:szCs w:val="20"/>
                <w:color w:val="auto"/>
              </w:rPr>
            </w:pPr>
            <w:r>
              <w:rPr>
                <w:rFonts w:ascii="Times New Roman" w:cs="Times New Roman" w:eastAsia="Times New Roman" w:hAnsi="Times New Roman"/>
                <w:sz w:val="18"/>
                <w:szCs w:val="18"/>
                <w:color w:val="auto"/>
                <w:w w:val="99"/>
              </w:rPr>
              <w:t>/s/ Kevin G. Burke</w:t>
            </w:r>
          </w:p>
        </w:tc>
      </w:tr>
      <w:tr>
        <w:trPr>
          <w:trHeight w:val="234"/>
        </w:trPr>
        <w:tc>
          <w:tcPr>
            <w:tcW w:w="3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Kevin G. Burke, Trustee</w:t>
            </w:r>
          </w:p>
        </w:tc>
        <w:tc>
          <w:tcPr>
            <w:tcW w:w="3020" w:type="dxa"/>
            <w:vAlign w:val="bottom"/>
          </w:tcPr>
          <w:p>
            <w:pPr>
              <w:spacing w:after="0"/>
              <w:rPr>
                <w:sz w:val="20"/>
                <w:szCs w:val="20"/>
                <w:color w:val="auto"/>
              </w:rPr>
            </w:pPr>
          </w:p>
        </w:tc>
      </w:tr>
      <w:tr>
        <w:trPr>
          <w:trHeight w:val="448"/>
        </w:trPr>
        <w:tc>
          <w:tcPr>
            <w:tcW w:w="3500" w:type="dxa"/>
            <w:vAlign w:val="bottom"/>
          </w:tcPr>
          <w:p>
            <w:pPr>
              <w:spacing w:after="0"/>
              <w:rPr>
                <w:sz w:val="24"/>
                <w:szCs w:val="24"/>
                <w:color w:val="auto"/>
              </w:rPr>
            </w:pPr>
          </w:p>
        </w:tc>
        <w:tc>
          <w:tcPr>
            <w:tcW w:w="24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gridSpan w:val="2"/>
          </w:tcPr>
          <w:p>
            <w:pPr>
              <w:jc w:val="center"/>
              <w:ind w:right="3040"/>
              <w:spacing w:after="0"/>
              <w:rPr>
                <w:sz w:val="20"/>
                <w:szCs w:val="20"/>
                <w:color w:val="auto"/>
              </w:rPr>
            </w:pPr>
            <w:r>
              <w:rPr>
                <w:rFonts w:ascii="Times New Roman" w:cs="Times New Roman" w:eastAsia="Times New Roman" w:hAnsi="Times New Roman"/>
                <w:sz w:val="18"/>
                <w:szCs w:val="18"/>
                <w:color w:val="auto"/>
                <w:w w:val="99"/>
              </w:rPr>
              <w:t>/s/ Jeffrey D. Miller</w:t>
            </w:r>
          </w:p>
        </w:tc>
      </w:tr>
      <w:tr>
        <w:trPr>
          <w:trHeight w:val="234"/>
        </w:trPr>
        <w:tc>
          <w:tcPr>
            <w:tcW w:w="3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Jeffrey D. Miller, Trustee</w:t>
            </w:r>
          </w:p>
        </w:tc>
        <w:tc>
          <w:tcPr>
            <w:tcW w:w="3020" w:type="dxa"/>
            <w:vAlign w:val="bottom"/>
          </w:tcPr>
          <w:p>
            <w:pPr>
              <w:spacing w:after="0"/>
              <w:rPr>
                <w:sz w:val="20"/>
                <w:szCs w:val="20"/>
                <w:color w:val="auto"/>
              </w:rPr>
            </w:pPr>
          </w:p>
        </w:tc>
      </w:tr>
      <w:tr>
        <w:trPr>
          <w:trHeight w:val="448"/>
        </w:trPr>
        <w:tc>
          <w:tcPr>
            <w:tcW w:w="3500" w:type="dxa"/>
            <w:vAlign w:val="bottom"/>
          </w:tcPr>
          <w:p>
            <w:pPr>
              <w:spacing w:after="0"/>
              <w:rPr>
                <w:sz w:val="24"/>
                <w:szCs w:val="24"/>
                <w:color w:val="auto"/>
              </w:rPr>
            </w:pPr>
          </w:p>
        </w:tc>
        <w:tc>
          <w:tcPr>
            <w:tcW w:w="24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gridSpan w:val="2"/>
          </w:tcPr>
          <w:p>
            <w:pPr>
              <w:jc w:val="center"/>
              <w:ind w:right="3020"/>
              <w:spacing w:after="0"/>
              <w:rPr>
                <w:sz w:val="20"/>
                <w:szCs w:val="20"/>
                <w:color w:val="auto"/>
              </w:rPr>
            </w:pPr>
            <w:r>
              <w:rPr>
                <w:rFonts w:ascii="Times New Roman" w:cs="Times New Roman" w:eastAsia="Times New Roman" w:hAnsi="Times New Roman"/>
                <w:sz w:val="18"/>
                <w:szCs w:val="18"/>
                <w:color w:val="auto"/>
                <w:w w:val="99"/>
              </w:rPr>
              <w:t>/s/ David B. Bawel</w:t>
            </w:r>
          </w:p>
        </w:tc>
      </w:tr>
      <w:tr>
        <w:trPr>
          <w:trHeight w:val="234"/>
        </w:trPr>
        <w:tc>
          <w:tcPr>
            <w:tcW w:w="3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B. Bawel, Trustee</w:t>
            </w:r>
          </w:p>
        </w:tc>
        <w:tc>
          <w:tcPr>
            <w:tcW w:w="3020" w:type="dxa"/>
            <w:vAlign w:val="bottom"/>
          </w:tcPr>
          <w:p>
            <w:pPr>
              <w:spacing w:after="0"/>
              <w:rPr>
                <w:sz w:val="20"/>
                <w:szCs w:val="20"/>
                <w:color w:val="auto"/>
              </w:rPr>
            </w:pPr>
          </w:p>
        </w:tc>
      </w:tr>
      <w:tr>
        <w:trPr>
          <w:trHeight w:val="498"/>
        </w:trPr>
        <w:tc>
          <w:tcPr>
            <w:tcW w:w="3500" w:type="dxa"/>
            <w:vAlign w:val="bottom"/>
          </w:tcPr>
          <w:p>
            <w:pPr>
              <w:spacing w:after="0"/>
              <w:rPr>
                <w:sz w:val="24"/>
                <w:szCs w:val="24"/>
                <w:color w:val="auto"/>
              </w:rPr>
            </w:pPr>
          </w:p>
        </w:tc>
        <w:tc>
          <w:tcPr>
            <w:tcW w:w="2480" w:type="dxa"/>
            <w:vAlign w:val="bottom"/>
          </w:tcPr>
          <w:p>
            <w:pPr>
              <w:ind w:left="2060"/>
              <w:spacing w:after="0"/>
              <w:rPr>
                <w:sz w:val="20"/>
                <w:szCs w:val="20"/>
                <w:color w:val="auto"/>
              </w:rPr>
            </w:pPr>
            <w:r>
              <w:rPr>
                <w:rFonts w:ascii="Times New Roman" w:cs="Times New Roman" w:eastAsia="Times New Roman" w:hAnsi="Times New Roman"/>
                <w:sz w:val="14"/>
                <w:szCs w:val="14"/>
                <w:color w:val="auto"/>
              </w:rPr>
              <w:t>17</w:t>
            </w:r>
          </w:p>
        </w:tc>
        <w:tc>
          <w:tcPr>
            <w:tcW w:w="224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57"/>
        </w:trPr>
        <w:tc>
          <w:tcPr>
            <w:tcW w:w="350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30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780" w:type="dxa"/>
            <w:vAlign w:val="bottom"/>
            <w:gridSpan w:val="3"/>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9"/>
              </w:rPr>
              <w:t>DONEGAL MUTUAL INSURANCE COMPANY</w:t>
            </w:r>
          </w:p>
        </w:tc>
      </w:tr>
      <w:tr>
        <w:trPr>
          <w:trHeight w:val="238"/>
        </w:trPr>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600" w:type="dxa"/>
            <w:vAlign w:val="bottom"/>
            <w:gridSpan w:val="2"/>
          </w:tcPr>
          <w:p>
            <w:pPr>
              <w:jc w:val="center"/>
              <w:ind w:right="4620"/>
              <w:spacing w:after="0"/>
              <w:rPr>
                <w:sz w:val="20"/>
                <w:szCs w:val="20"/>
                <w:color w:val="auto"/>
              </w:rPr>
            </w:pPr>
            <w:r>
              <w:rPr>
                <w:rFonts w:ascii="Times New Roman" w:cs="Times New Roman" w:eastAsia="Times New Roman" w:hAnsi="Times New Roman"/>
                <w:sz w:val="18"/>
                <w:szCs w:val="18"/>
                <w:b w:val="1"/>
                <w:bCs w:val="1"/>
                <w:color w:val="auto"/>
                <w:w w:val="99"/>
              </w:rPr>
              <w:t>401(k) PLAN</w:t>
            </w:r>
          </w:p>
        </w:tc>
      </w:tr>
      <w:tr>
        <w:trPr>
          <w:trHeight w:val="432"/>
        </w:trPr>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600" w:type="dxa"/>
            <w:vAlign w:val="bottom"/>
            <w:gridSpan w:val="2"/>
          </w:tcPr>
          <w:p>
            <w:pPr>
              <w:jc w:val="center"/>
              <w:ind w:right="4640"/>
              <w:spacing w:after="0"/>
              <w:rPr>
                <w:sz w:val="20"/>
                <w:szCs w:val="20"/>
                <w:color w:val="auto"/>
              </w:rPr>
            </w:pPr>
            <w:r>
              <w:rPr>
                <w:rFonts w:ascii="Times New Roman" w:cs="Times New Roman" w:eastAsia="Times New Roman" w:hAnsi="Times New Roman"/>
                <w:sz w:val="18"/>
                <w:szCs w:val="18"/>
                <w:color w:val="auto"/>
                <w:w w:val="99"/>
              </w:rPr>
              <w:t>EXHIBIT INDEX</w:t>
            </w:r>
          </w:p>
        </w:tc>
      </w:tr>
      <w:tr>
        <w:trPr>
          <w:trHeight w:val="418"/>
        </w:trPr>
        <w:tc>
          <w:tcPr>
            <w:tcW w:w="260" w:type="dxa"/>
            <w:vAlign w:val="bottom"/>
          </w:tcPr>
          <w:p>
            <w:pPr>
              <w:spacing w:after="0"/>
              <w:rPr>
                <w:sz w:val="24"/>
                <w:szCs w:val="24"/>
                <w:color w:val="auto"/>
              </w:rPr>
            </w:pPr>
          </w:p>
        </w:tc>
        <w:tc>
          <w:tcPr>
            <w:tcW w:w="2200" w:type="dxa"/>
            <w:vAlign w:val="bottom"/>
            <w:gridSpan w:val="4"/>
          </w:tcPr>
          <w:p>
            <w:pPr>
              <w:jc w:val="center"/>
              <w:ind w:right="1020"/>
              <w:spacing w:after="0"/>
              <w:rPr>
                <w:sz w:val="20"/>
                <w:szCs w:val="20"/>
                <w:color w:val="auto"/>
              </w:rPr>
            </w:pPr>
            <w:r>
              <w:rPr>
                <w:rFonts w:ascii="Times New Roman" w:cs="Times New Roman" w:eastAsia="Times New Roman" w:hAnsi="Times New Roman"/>
                <w:sz w:val="18"/>
                <w:szCs w:val="18"/>
                <w:color w:val="auto"/>
              </w:rPr>
              <w:t>Exhibit Number</w:t>
            </w:r>
          </w:p>
        </w:tc>
        <w:tc>
          <w:tcPr>
            <w:tcW w:w="2180" w:type="dxa"/>
            <w:vAlign w:val="bottom"/>
          </w:tcPr>
          <w:p>
            <w:pPr>
              <w:spacing w:after="0"/>
              <w:rPr>
                <w:sz w:val="24"/>
                <w:szCs w:val="24"/>
                <w:color w:val="auto"/>
              </w:rPr>
            </w:pPr>
          </w:p>
        </w:tc>
        <w:tc>
          <w:tcPr>
            <w:tcW w:w="6600" w:type="dxa"/>
            <w:vAlign w:val="bottom"/>
            <w:gridSpan w:val="2"/>
          </w:tcPr>
          <w:p>
            <w:pPr>
              <w:jc w:val="center"/>
              <w:ind w:right="5760"/>
              <w:spacing w:after="0"/>
              <w:rPr>
                <w:sz w:val="20"/>
                <w:szCs w:val="20"/>
                <w:color w:val="auto"/>
              </w:rPr>
            </w:pPr>
            <w:r>
              <w:rPr>
                <w:rFonts w:ascii="Times New Roman" w:cs="Times New Roman" w:eastAsia="Times New Roman" w:hAnsi="Times New Roman"/>
                <w:sz w:val="18"/>
                <w:szCs w:val="18"/>
                <w:color w:val="auto"/>
                <w:w w:val="99"/>
              </w:rPr>
              <w:t>Description</w:t>
            </w:r>
          </w:p>
        </w:tc>
      </w:tr>
      <w:tr>
        <w:trPr>
          <w:trHeight w:val="290"/>
        </w:trPr>
        <w:tc>
          <w:tcPr>
            <w:tcW w:w="2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760" w:type="dxa"/>
            <w:vAlign w:val="bottom"/>
          </w:tcPr>
          <w:p>
            <w:pPr>
              <w:spacing w:after="0"/>
              <w:rPr>
                <w:sz w:val="24"/>
                <w:szCs w:val="24"/>
                <w:color w:val="auto"/>
              </w:rPr>
            </w:pPr>
          </w:p>
        </w:tc>
      </w:tr>
      <w:tr>
        <w:trPr>
          <w:trHeight w:val="223"/>
        </w:trPr>
        <w:tc>
          <w:tcPr>
            <w:tcW w:w="1440" w:type="dxa"/>
            <w:vAlign w:val="bottom"/>
            <w:gridSpan w:val="4"/>
            <w:shd w:val="clear" w:color="auto" w:fill="CCEEFF"/>
          </w:tcPr>
          <w:p>
            <w:pPr>
              <w:jc w:val="center"/>
              <w:ind w:right="420"/>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1020" w:type="dxa"/>
            <w:vAlign w:val="bottom"/>
            <w:shd w:val="clear" w:color="auto" w:fill="CCEEFF"/>
          </w:tcPr>
          <w:p>
            <w:pPr>
              <w:spacing w:after="0"/>
              <w:rPr>
                <w:sz w:val="19"/>
                <w:szCs w:val="19"/>
                <w:color w:val="auto"/>
              </w:rPr>
            </w:pPr>
          </w:p>
        </w:tc>
        <w:tc>
          <w:tcPr>
            <w:tcW w:w="8780" w:type="dxa"/>
            <w:vAlign w:val="bottom"/>
            <w:gridSpan w:val="3"/>
            <w:shd w:val="clear" w:color="auto" w:fill="CCEEFF"/>
          </w:tcPr>
          <w:p>
            <w:pPr>
              <w:jc w:val="center"/>
              <w:ind w:right="3580"/>
              <w:spacing w:after="0" w:line="176" w:lineRule="exact"/>
              <w:rPr>
                <w:sz w:val="20"/>
                <w:szCs w:val="20"/>
                <w:color w:val="auto"/>
              </w:rPr>
            </w:pPr>
            <w:r>
              <w:rPr>
                <w:rFonts w:ascii="Times New Roman" w:cs="Times New Roman" w:eastAsia="Times New Roman" w:hAnsi="Times New Roman"/>
                <w:sz w:val="18"/>
                <w:szCs w:val="18"/>
                <w:color w:val="auto"/>
                <w:w w:val="99"/>
              </w:rPr>
              <w:t>Consent of BDO USA, P.C. (filed herewith)</w:t>
            </w:r>
          </w:p>
        </w:tc>
      </w:tr>
      <w:tr>
        <w:trPr>
          <w:trHeight w:val="598"/>
        </w:trPr>
        <w:tc>
          <w:tcPr>
            <w:tcW w:w="26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8780" w:type="dxa"/>
            <w:vAlign w:val="bottom"/>
            <w:tcBorders>
              <w:top w:val="single" w:sz="8" w:color="CCEEFF"/>
            </w:tcBorders>
            <w:gridSpan w:val="3"/>
          </w:tcPr>
          <w:p>
            <w:pPr>
              <w:jc w:val="center"/>
              <w:ind w:right="2440"/>
              <w:spacing w:after="0"/>
              <w:rPr>
                <w:sz w:val="20"/>
                <w:szCs w:val="20"/>
                <w:color w:val="auto"/>
              </w:rPr>
            </w:pPr>
            <w:r>
              <w:rPr>
                <w:rFonts w:ascii="Times New Roman" w:cs="Times New Roman" w:eastAsia="Times New Roman" w:hAnsi="Times New Roman"/>
                <w:sz w:val="14"/>
                <w:szCs w:val="14"/>
                <w:color w:val="auto"/>
                <w:w w:val="99"/>
              </w:rPr>
              <w:t>18</w:t>
            </w:r>
          </w:p>
        </w:tc>
      </w:tr>
      <w:tr>
        <w:trPr>
          <w:trHeight w:val="71"/>
        </w:trPr>
        <w:tc>
          <w:tcPr>
            <w:tcW w:w="2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760" w:type="dxa"/>
            <w:vAlign w:val="bottom"/>
            <w:tcBorders>
              <w:bottom w:val="single" w:sz="8" w:color="auto"/>
            </w:tcBorders>
          </w:tcPr>
          <w:p>
            <w:pPr>
              <w:spacing w:after="0"/>
              <w:rPr>
                <w:sz w:val="6"/>
                <w:szCs w:val="6"/>
                <w:color w:val="auto"/>
              </w:rPr>
            </w:pPr>
          </w:p>
        </w:tc>
      </w:tr>
    </w:tbl>
    <w:p>
      <w:pPr>
        <w:sectPr>
          <w:pgSz w:w="11900" w:h="16838" w:orient="portrait"/>
          <w:cols w:equalWidth="0" w:num="1">
            <w:col w:w="11240"/>
          </w:cols>
          <w:pgMar w:left="320" w:top="115"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CONSENT OF INDEPENDENT REGISTERED</w:t>
      </w:r>
    </w:p>
    <w:p>
      <w:pPr>
        <w:spacing w:after="0" w:line="1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PUBLIC ACCOUNTING FIRM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Donegal Mutual Insurance Company 401(k) Plan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Marietta, Pennsylvania</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hereby consent to the incorporation by reference in the Registration Statement on Form S-8 (333-89644) of Donegal Group Inc. of our report dated June 18, 2026, relating to the financial statements and supplemental schedule of the Donegal Mutual Insurance Company 401(k) Plan which appears in this Form 11-K for the year ended December 31, 2025.</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BDO USA, P.C.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Philadelphia, Pennsylvania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upperLetter"/>
      <w:start w:val="2"/>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2"/>
    </w:lvl>
  </w:abstractNum>
  <w:abstractNum w:abstractNumId="6">
    <w:nsid w:val="12200854"/>
    <w:multiLevelType w:val="hybridMultilevel"/>
    <w:lvl w:ilvl="0">
      <w:lvlJc w:val="left"/>
      <w:lvlText w:val="%1."/>
      <w:numFmt w:val="decimal"/>
      <w:start w:val="2"/>
    </w:lvl>
  </w:abstractNum>
  <w:abstractNum w:abstractNumId="7">
    <w:nsid w:val="4DB127F8"/>
    <w:multiLevelType w:val="hybridMultilevel"/>
    <w:lvl w:ilvl="0">
      <w:lvlJc w:val="left"/>
      <w:lvlText w:val="%1."/>
      <w:numFmt w:val="decimal"/>
      <w:start w:val="3"/>
    </w:lvl>
  </w:abstractNum>
  <w:abstractNum w:abstractNumId="8">
    <w:nsid w:val="216231B"/>
    <w:multiLevelType w:val="hybridMultilevel"/>
    <w:lvl w:ilvl="0">
      <w:lvlJc w:val="left"/>
      <w:lvlText w:val="%1."/>
      <w:numFmt w:val="decimal"/>
      <w:start w:val="4"/>
    </w:lvl>
  </w:abstractNum>
  <w:abstractNum w:abstractNumId="9">
    <w:nsid w:val="1F16E9E8"/>
    <w:multiLevelType w:val="hybridMultilevel"/>
    <w:lvl w:ilvl="0">
      <w:lvlJc w:val="left"/>
      <w:lvlText w:val="%1."/>
      <w:numFmt w:val="decimal"/>
      <w:start w:val="4"/>
    </w:lvl>
  </w:abstractNum>
  <w:abstractNum w:abstractNumId="10">
    <w:nsid w:val="1190CDE7"/>
    <w:multiLevelType w:val="hybridMultilevel"/>
    <w:lvl w:ilvl="0">
      <w:lvlJc w:val="left"/>
      <w:lvlText w:val="%1."/>
      <w:numFmt w:val="decimal"/>
      <w:start w:val="5"/>
    </w:lvl>
  </w:abstractNum>
  <w:abstractNum w:abstractNumId="11">
    <w:nsid w:val="66EF438D"/>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2026-06-18T14:16:44Z</dcterms:created>
  <dcterms:modified xsi:type="dcterms:W3CDTF">2026-06-18T14:16:44Z</dcterms:modified>
</cp:coreProperties>
</file>